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spacing w:line="580" w:lineRule="exact"/>
        <w:jc w:val="left"/>
        <w:rPr>
          <w:rFonts w:hint="default" w:ascii="仿宋_GB2312" w:hAnsi="宋体" w:eastAsia="仿宋_GB2312" w:cs="Times New Roman"/>
          <w:b/>
          <w:kern w:val="2"/>
          <w:sz w:val="28"/>
          <w:szCs w:val="32"/>
          <w:lang w:val="en-US" w:eastAsia="zh-CN" w:bidi="ar-SA"/>
        </w:rPr>
      </w:pPr>
      <w:r>
        <w:rPr>
          <w:rFonts w:hint="eastAsia" w:ascii="仿宋_GB2312" w:hAnsi="宋体" w:eastAsia="仿宋_GB2312" w:cs="Times New Roman"/>
          <w:b/>
          <w:kern w:val="2"/>
          <w:sz w:val="28"/>
          <w:szCs w:val="32"/>
          <w:lang w:val="en-US" w:eastAsia="zh-CN" w:bidi="ar-SA"/>
        </w:rPr>
        <w:t>附件1：</w:t>
      </w:r>
    </w:p>
    <w:p>
      <w:pPr>
        <w:wordWrap/>
        <w:spacing w:line="580" w:lineRule="exact"/>
        <w:jc w:val="center"/>
        <w:rPr>
          <w:rFonts w:hint="eastAsia" w:ascii="仿宋_GB2312" w:hAnsi="宋体" w:eastAsia="仿宋_GB2312" w:cs="Times New Roman"/>
          <w:b/>
          <w:kern w:val="2"/>
          <w:sz w:val="28"/>
          <w:szCs w:val="32"/>
          <w:lang w:val="en-US" w:eastAsia="zh-CN" w:bidi="ar-SA"/>
        </w:rPr>
      </w:pPr>
    </w:p>
    <w:p>
      <w:pPr>
        <w:wordWrap/>
        <w:spacing w:line="580" w:lineRule="exact"/>
        <w:jc w:val="center"/>
        <w:rPr>
          <w:rFonts w:hint="eastAsia" w:ascii="仿宋_GB2312" w:hAnsi="宋体" w:eastAsia="仿宋_GB2312" w:cs="Times New Roman"/>
          <w:b/>
          <w:kern w:val="2"/>
          <w:sz w:val="32"/>
          <w:szCs w:val="36"/>
          <w:lang w:val="en-US" w:eastAsia="zh-CN" w:bidi="ar-SA"/>
        </w:rPr>
      </w:pPr>
      <w:r>
        <w:rPr>
          <w:rFonts w:hint="eastAsia" w:ascii="仿宋_GB2312" w:hAnsi="宋体" w:eastAsia="仿宋_GB2312" w:cs="Times New Roman"/>
          <w:b/>
          <w:kern w:val="2"/>
          <w:sz w:val="32"/>
          <w:szCs w:val="36"/>
          <w:lang w:val="en-US" w:eastAsia="zh-CN" w:bidi="ar-SA"/>
        </w:rPr>
        <w:t>《2024年深圳市罗湖区城市更新单元计划第二批计划》</w:t>
      </w:r>
    </w:p>
    <w:p>
      <w:pPr>
        <w:wordWrap w:val="0"/>
        <w:spacing w:line="580" w:lineRule="exact"/>
        <w:jc w:val="center"/>
        <w:rPr>
          <w:rFonts w:hint="eastAsia" w:ascii="仿宋_GB2312" w:hAnsi="宋体" w:eastAsia="仿宋_GB2312" w:cs="Times New Roman"/>
          <w:b/>
          <w:kern w:val="2"/>
          <w:sz w:val="32"/>
          <w:szCs w:val="36"/>
          <w:lang w:val="en-US" w:eastAsia="zh-CN" w:bidi="ar-SA"/>
        </w:rPr>
      </w:pPr>
      <w:r>
        <w:rPr>
          <w:rFonts w:hint="eastAsia" w:ascii="仿宋_GB2312" w:hAnsi="宋体" w:eastAsia="仿宋_GB2312" w:cs="Times New Roman"/>
          <w:b/>
          <w:kern w:val="2"/>
          <w:sz w:val="32"/>
          <w:szCs w:val="36"/>
          <w:lang w:val="en-US" w:eastAsia="zh-CN" w:bidi="ar-SA"/>
        </w:rPr>
        <w:t>（有效期调整）一览表</w:t>
      </w:r>
    </w:p>
    <w:p>
      <w:pPr>
        <w:rPr>
          <w:rFonts w:hint="eastAsia" w:ascii="仿宋_GB2312" w:hAnsi="宋体" w:eastAsia="仿宋_GB2312" w:cs="宋体"/>
          <w:kern w:val="0"/>
          <w:sz w:val="32"/>
          <w:szCs w:val="32"/>
        </w:rPr>
      </w:pPr>
    </w:p>
    <w:tbl>
      <w:tblPr>
        <w:tblStyle w:val="2"/>
        <w:tblW w:w="499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9"/>
        <w:gridCol w:w="786"/>
        <w:gridCol w:w="1001"/>
        <w:gridCol w:w="1572"/>
        <w:gridCol w:w="1228"/>
        <w:gridCol w:w="1504"/>
        <w:gridCol w:w="33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9" w:hRule="atLeast"/>
        </w:trPr>
        <w:tc>
          <w:tcPr>
            <w:tcW w:w="251"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编号</w:t>
            </w:r>
          </w:p>
        </w:tc>
        <w:tc>
          <w:tcPr>
            <w:tcW w:w="395"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辖区</w:t>
            </w:r>
          </w:p>
        </w:tc>
        <w:tc>
          <w:tcPr>
            <w:tcW w:w="503"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街道</w:t>
            </w:r>
          </w:p>
        </w:tc>
        <w:tc>
          <w:tcPr>
            <w:tcW w:w="790"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项目名称</w:t>
            </w:r>
          </w:p>
        </w:tc>
        <w:tc>
          <w:tcPr>
            <w:tcW w:w="617"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计划申报主体</w:t>
            </w:r>
          </w:p>
        </w:tc>
        <w:tc>
          <w:tcPr>
            <w:tcW w:w="756"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拆除范围用地面积（平方米）</w:t>
            </w:r>
          </w:p>
        </w:tc>
        <w:tc>
          <w:tcPr>
            <w:tcW w:w="1684" w:type="pct"/>
            <w:vAlign w:val="center"/>
          </w:tcPr>
          <w:p>
            <w:pPr>
              <w:spacing w:line="288" w:lineRule="auto"/>
              <w:jc w:val="center"/>
              <w:rPr>
                <w:rFonts w:ascii="Calibri" w:hAnsi="Calibri" w:eastAsia="宋体" w:cs="Times New Roman"/>
                <w:szCs w:val="22"/>
              </w:rPr>
            </w:pPr>
            <w:r>
              <w:rPr>
                <w:rFonts w:hint="eastAsia" w:ascii="Calibri" w:hAnsi="Calibri" w:eastAsia="宋体" w:cs="Times New Roman"/>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51" w:type="pct"/>
            <w:vAlign w:val="center"/>
          </w:tcPr>
          <w:p>
            <w:pPr>
              <w:spacing w:line="288" w:lineRule="auto"/>
              <w:jc w:val="center"/>
              <w:rPr>
                <w:rFonts w:ascii="Calibri" w:hAnsi="Calibri" w:eastAsia="宋体" w:cs="Times New Roman"/>
                <w:szCs w:val="22"/>
              </w:rPr>
            </w:pPr>
            <w:r>
              <w:rPr>
                <w:rFonts w:ascii="Calibri" w:hAnsi="Calibri" w:eastAsia="宋体" w:cs="Times New Roman"/>
                <w:szCs w:val="22"/>
              </w:rPr>
              <w:t>1</w:t>
            </w:r>
          </w:p>
        </w:tc>
        <w:tc>
          <w:tcPr>
            <w:tcW w:w="395" w:type="pct"/>
            <w:vAlign w:val="center"/>
          </w:tcPr>
          <w:p>
            <w:pPr>
              <w:spacing w:line="288" w:lineRule="auto"/>
              <w:jc w:val="center"/>
              <w:rPr>
                <w:rFonts w:ascii="Calibri" w:hAnsi="Calibri" w:eastAsia="宋体" w:cs="Times New Roman"/>
                <w:szCs w:val="22"/>
              </w:rPr>
            </w:pPr>
            <w:r>
              <w:rPr>
                <w:rFonts w:ascii="Calibri" w:hAnsi="Calibri" w:eastAsia="宋体" w:cs="Times New Roman"/>
                <w:szCs w:val="22"/>
              </w:rPr>
              <w:t>罗湖</w:t>
            </w:r>
          </w:p>
        </w:tc>
        <w:tc>
          <w:tcPr>
            <w:tcW w:w="503" w:type="pct"/>
            <w:vAlign w:val="center"/>
          </w:tcPr>
          <w:p>
            <w:pPr>
              <w:spacing w:line="240" w:lineRule="atLeast"/>
              <w:ind w:left="200" w:hanging="200" w:hangingChars="100"/>
              <w:jc w:val="center"/>
              <w:rPr>
                <w:rFonts w:ascii="Calibri" w:hAnsi="Calibri" w:eastAsia="宋体" w:cs="Times New Roman"/>
                <w:sz w:val="20"/>
                <w:szCs w:val="22"/>
              </w:rPr>
            </w:pPr>
            <w:r>
              <w:rPr>
                <w:rFonts w:hint="eastAsia" w:ascii="Calibri" w:hAnsi="Calibri" w:eastAsia="宋体" w:cs="Times New Roman"/>
                <w:sz w:val="20"/>
                <w:szCs w:val="22"/>
              </w:rPr>
              <w:t>东晓</w:t>
            </w:r>
          </w:p>
          <w:p>
            <w:pPr>
              <w:spacing w:line="240" w:lineRule="atLeast"/>
              <w:ind w:left="200" w:hanging="200" w:hangingChars="100"/>
              <w:jc w:val="center"/>
              <w:rPr>
                <w:rFonts w:ascii="Calibri" w:hAnsi="Calibri" w:eastAsia="宋体" w:cs="Times New Roman"/>
                <w:sz w:val="20"/>
                <w:szCs w:val="22"/>
              </w:rPr>
            </w:pPr>
            <w:r>
              <w:rPr>
                <w:rFonts w:ascii="Calibri" w:hAnsi="Calibri" w:eastAsia="宋体" w:cs="Times New Roman"/>
                <w:sz w:val="20"/>
                <w:szCs w:val="22"/>
              </w:rPr>
              <w:t>街道</w:t>
            </w:r>
          </w:p>
        </w:tc>
        <w:tc>
          <w:tcPr>
            <w:tcW w:w="790" w:type="pct"/>
            <w:vAlign w:val="center"/>
          </w:tcPr>
          <w:p>
            <w:pPr>
              <w:spacing w:line="240" w:lineRule="atLeast"/>
              <w:jc w:val="center"/>
              <w:rPr>
                <w:rFonts w:ascii="Calibri" w:hAnsi="Calibri" w:eastAsia="宋体" w:cs="Times New Roman"/>
                <w:sz w:val="20"/>
                <w:szCs w:val="22"/>
              </w:rPr>
            </w:pPr>
            <w:r>
              <w:rPr>
                <w:rFonts w:hint="eastAsia" w:ascii="Calibri" w:hAnsi="Calibri" w:eastAsia="宋体" w:cs="Times New Roman"/>
                <w:sz w:val="20"/>
                <w:szCs w:val="22"/>
              </w:rPr>
              <w:t>罗湖区东晓街道太白路超利综合楼城市更新单元</w:t>
            </w:r>
          </w:p>
        </w:tc>
        <w:tc>
          <w:tcPr>
            <w:tcW w:w="617" w:type="pct"/>
            <w:vAlign w:val="center"/>
          </w:tcPr>
          <w:p>
            <w:pPr>
              <w:spacing w:line="240" w:lineRule="atLeast"/>
              <w:jc w:val="center"/>
              <w:rPr>
                <w:rFonts w:ascii="Calibri" w:hAnsi="Calibri" w:eastAsia="宋体" w:cs="Times New Roman"/>
                <w:sz w:val="20"/>
                <w:szCs w:val="22"/>
              </w:rPr>
            </w:pPr>
            <w:r>
              <w:rPr>
                <w:rFonts w:hint="eastAsia" w:ascii="Calibri" w:hAnsi="Calibri" w:eastAsia="宋体" w:cs="Times New Roman"/>
                <w:sz w:val="20"/>
                <w:szCs w:val="22"/>
              </w:rPr>
              <w:t>深圳市皇</w:t>
            </w:r>
            <w:bookmarkStart w:id="0" w:name="_GoBack"/>
            <w:bookmarkEnd w:id="0"/>
            <w:r>
              <w:rPr>
                <w:rFonts w:hint="eastAsia" w:ascii="Calibri" w:hAnsi="Calibri" w:eastAsia="宋体" w:cs="Times New Roman"/>
                <w:sz w:val="20"/>
                <w:szCs w:val="22"/>
              </w:rPr>
              <w:t>鼎基业投资有限公司</w:t>
            </w:r>
          </w:p>
        </w:tc>
        <w:tc>
          <w:tcPr>
            <w:tcW w:w="756" w:type="pct"/>
            <w:vAlign w:val="center"/>
          </w:tcPr>
          <w:p>
            <w:pPr>
              <w:spacing w:line="288" w:lineRule="auto"/>
              <w:jc w:val="center"/>
              <w:rPr>
                <w:rFonts w:ascii="Calibri" w:hAnsi="Calibri" w:eastAsia="宋体" w:cs="Times New Roman"/>
                <w:szCs w:val="22"/>
              </w:rPr>
            </w:pPr>
            <w:r>
              <w:rPr>
                <w:rFonts w:ascii="Calibri" w:hAnsi="Calibri" w:eastAsia="宋体" w:cs="Times New Roman"/>
                <w:szCs w:val="22"/>
              </w:rPr>
              <w:t>11165</w:t>
            </w:r>
          </w:p>
        </w:tc>
        <w:tc>
          <w:tcPr>
            <w:tcW w:w="1684" w:type="pct"/>
            <w:vAlign w:val="center"/>
          </w:tcPr>
          <w:p>
            <w:pPr>
              <w:widowControl w:val="0"/>
              <w:spacing w:line="288" w:lineRule="auto"/>
              <w:ind w:firstLine="0" w:firstLineChars="0"/>
              <w:jc w:val="left"/>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①拟更新方向为居住等功能。</w:t>
            </w:r>
          </w:p>
          <w:p>
            <w:pPr>
              <w:widowControl w:val="0"/>
              <w:spacing w:line="288" w:lineRule="auto"/>
              <w:ind w:firstLine="0" w:firstLineChars="0"/>
              <w:jc w:val="left"/>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②拟拆除范围内落实不少于4360平方米公共利益用地。</w:t>
            </w:r>
          </w:p>
          <w:p>
            <w:pPr>
              <w:widowControl w:val="0"/>
              <w:spacing w:line="288" w:lineRule="auto"/>
              <w:ind w:firstLine="0" w:firstLineChars="0"/>
              <w:jc w:val="left"/>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③更新单元计划有效期2年，自2023年4月10日至2025年4月9日</w:t>
            </w:r>
            <w:r>
              <w:rPr>
                <w:rFonts w:hint="eastAsia" w:ascii="Times New Roman" w:hAnsi="Times New Roman" w:eastAsia="宋体" w:cs="Times New Roman"/>
                <w:color w:val="auto"/>
                <w:kern w:val="2"/>
                <w:sz w:val="21"/>
                <w:szCs w:val="22"/>
                <w:lang w:val="en-US" w:eastAsia="zh-CN" w:bidi="ar-SA"/>
              </w:rPr>
              <w:t>止。延期一年，有效期至2026年4月9日止。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7"/>
            <w:vAlign w:val="center"/>
          </w:tcPr>
          <w:p>
            <w:pPr>
              <w:spacing w:line="288" w:lineRule="auto"/>
              <w:jc w:val="left"/>
              <w:rPr>
                <w:rFonts w:ascii="Calibri" w:hAnsi="Calibri" w:eastAsia="宋体" w:cs="Times New Roman"/>
                <w:szCs w:val="22"/>
              </w:rPr>
            </w:pPr>
            <w:r>
              <w:rPr>
                <w:rFonts w:hint="eastAsia" w:ascii="Calibri" w:hAnsi="Calibri" w:eastAsia="宋体" w:cs="Times New Roman"/>
                <w:szCs w:val="22"/>
              </w:rPr>
              <w:t>特别提示：</w:t>
            </w:r>
          </w:p>
          <w:p>
            <w:pPr>
              <w:spacing w:line="288" w:lineRule="auto"/>
              <w:jc w:val="left"/>
              <w:rPr>
                <w:rFonts w:ascii="Calibri" w:hAnsi="Calibri" w:eastAsia="宋体" w:cs="Times New Roman"/>
                <w:szCs w:val="22"/>
              </w:rPr>
            </w:pPr>
            <w:r>
              <w:rPr>
                <w:rFonts w:ascii="Calibri" w:hAnsi="Calibri" w:eastAsia="宋体" w:cs="Times New Roman"/>
                <w:szCs w:val="22"/>
              </w:rPr>
              <w:t>1.</w:t>
            </w:r>
            <w:r>
              <w:rPr>
                <w:rFonts w:hint="eastAsia" w:ascii="Calibri" w:hAnsi="Calibri" w:eastAsia="宋体" w:cs="Times New Roman"/>
                <w:szCs w:val="22"/>
              </w:rPr>
              <w:t>本表所列的城市更新单元须按照城市更新相关政策完成城市更新单元规划编制及项目实施主体确认等工作后方可实施开发建设。</w:t>
            </w:r>
          </w:p>
          <w:p>
            <w:pPr>
              <w:spacing w:line="288" w:lineRule="auto"/>
              <w:jc w:val="left"/>
              <w:rPr>
                <w:rFonts w:ascii="Calibri" w:hAnsi="Calibri" w:eastAsia="宋体" w:cs="Times New Roman"/>
                <w:szCs w:val="22"/>
              </w:rPr>
            </w:pPr>
            <w:r>
              <w:rPr>
                <w:rFonts w:ascii="Calibri" w:hAnsi="Calibri" w:eastAsia="宋体" w:cs="Times New Roman"/>
                <w:szCs w:val="22"/>
              </w:rPr>
              <w:t>2.</w:t>
            </w:r>
            <w:r>
              <w:rPr>
                <w:rFonts w:hint="eastAsia" w:ascii="Calibri" w:hAnsi="Calibri" w:eastAsia="宋体" w:cs="Times New Roman"/>
                <w:szCs w:val="22"/>
              </w:rPr>
              <w:t>本表所列“申报主体”仅为城市更新单元计划的申报主体，项目实施主体须依据城市更新政策规定的条件及程序进行确认后产生。</w:t>
            </w:r>
          </w:p>
          <w:p>
            <w:pPr>
              <w:spacing w:line="288" w:lineRule="auto"/>
              <w:jc w:val="left"/>
              <w:rPr>
                <w:rFonts w:ascii="Calibri" w:hAnsi="Calibri" w:eastAsia="宋体" w:cs="Times New Roman"/>
                <w:szCs w:val="22"/>
              </w:rPr>
            </w:pPr>
            <w:r>
              <w:rPr>
                <w:rFonts w:hint="eastAsia" w:ascii="Calibri" w:hAnsi="Calibri" w:eastAsia="宋体" w:cs="Times New Roman"/>
                <w:szCs w:val="22"/>
              </w:rPr>
              <w:t>3.在本表所列的计划有效期内，更新单元规划未获市政府或其授权机构批准的，更新单元计划失效。</w:t>
            </w:r>
          </w:p>
          <w:p>
            <w:pPr>
              <w:spacing w:line="288" w:lineRule="auto"/>
              <w:jc w:val="left"/>
              <w:rPr>
                <w:rFonts w:ascii="Calibri" w:hAnsi="Calibri" w:eastAsia="宋体" w:cs="Times New Roman"/>
                <w:szCs w:val="22"/>
              </w:rPr>
            </w:pPr>
            <w:r>
              <w:rPr>
                <w:rFonts w:hint="eastAsia" w:ascii="Calibri" w:hAnsi="Calibri" w:eastAsia="宋体" w:cs="Times New Roman"/>
                <w:szCs w:val="22"/>
              </w:rPr>
              <w:t>4</w:t>
            </w:r>
            <w:r>
              <w:rPr>
                <w:rFonts w:ascii="Calibri" w:hAnsi="Calibri" w:eastAsia="宋体" w:cs="Times New Roman"/>
                <w:szCs w:val="22"/>
              </w:rPr>
              <w:t xml:space="preserve">. </w:t>
            </w:r>
            <w:r>
              <w:rPr>
                <w:rFonts w:hint="eastAsia" w:ascii="Calibri" w:hAnsi="Calibri" w:eastAsia="宋体" w:cs="Times New Roman"/>
                <w:szCs w:val="22"/>
              </w:rPr>
              <w:t>本表所列城市更新单元的规划建设要求在城市更新单元规划审批过程中予以确定，除满足本表所列需求外，还应满足法定图则等上层次规划关于交通、市政、公共配套设施的建设要求和城市更新政策中公共利益项目等用地的移交要求。</w:t>
            </w:r>
          </w:p>
        </w:tc>
      </w:tr>
    </w:tbl>
    <w:p>
      <w:pPr>
        <w:rPr>
          <w:rFonts w:hint="eastAsia" w:ascii="仿宋_GB2312" w:hAnsi="宋体" w:eastAsia="仿宋_GB2312" w:cs="宋体"/>
          <w:kern w:val="0"/>
          <w:sz w:val="32"/>
          <w:szCs w:val="32"/>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5F2EBAC6"/>
    <w:rsid w:val="77E9A558"/>
    <w:rsid w:val="FBC77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2018-07-11T23:11:00Z</dcterms:created>
  <dc:creator>d</dc:creator>
  <cp:lastModifiedBy>cxy</cp:lastModifiedBy>
  <dcterms:modified xsi:type="dcterms:W3CDTF">2025-05-21T10:05:25Z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6BE03E768D669D79514A2C683D7AED68</vt:lpwstr>
  </property>
</Properties>
</file>