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附件1：</w:t>
      </w:r>
    </w:p>
    <w:p>
      <w:pPr>
        <w:rPr>
          <w:rFonts w:ascii="仿宋_GB2312" w:hAnsi="仿宋_GB2312" w:eastAsia="仿宋_GB2312" w:cs="仿宋_GB2312"/>
          <w:color w:val="auto"/>
          <w:sz w:val="32"/>
          <w:szCs w:val="32"/>
        </w:rPr>
      </w:pPr>
    </w:p>
    <w:p>
      <w:pPr>
        <w:jc w:val="center"/>
        <w:rPr>
          <w:rFonts w:hint="eastAsia" w:ascii="仿宋_GB2312" w:hAnsi="仿宋" w:eastAsia="仿宋_GB2312" w:cs="仿宋_GB2312"/>
          <w:b/>
          <w:bCs/>
          <w:color w:val="auto"/>
          <w:sz w:val="32"/>
          <w:szCs w:val="32"/>
        </w:rPr>
      </w:pPr>
      <w:bookmarkStart w:id="0" w:name="_GoBack"/>
      <w:r>
        <w:rPr>
          <w:rFonts w:hint="eastAsia" w:ascii="仿宋_GB2312" w:hAnsi="仿宋" w:eastAsia="仿宋_GB2312" w:cs="仿宋_GB2312"/>
          <w:b/>
          <w:bCs/>
          <w:color w:val="auto"/>
          <w:sz w:val="32"/>
          <w:szCs w:val="32"/>
        </w:rPr>
        <w:t>《202</w:t>
      </w:r>
      <w:r>
        <w:rPr>
          <w:rFonts w:hint="eastAsia" w:ascii="仿宋_GB2312" w:hAnsi="仿宋" w:eastAsia="仿宋_GB2312" w:cs="仿宋_GB2312"/>
          <w:b/>
          <w:bCs/>
          <w:color w:val="auto"/>
          <w:sz w:val="32"/>
          <w:szCs w:val="32"/>
          <w:lang w:val="en-US" w:eastAsia="zh-CN"/>
        </w:rPr>
        <w:t>3</w:t>
      </w:r>
      <w:r>
        <w:rPr>
          <w:rFonts w:hint="eastAsia" w:ascii="仿宋_GB2312" w:hAnsi="仿宋" w:eastAsia="仿宋_GB2312" w:cs="仿宋_GB2312"/>
          <w:b/>
          <w:bCs/>
          <w:color w:val="auto"/>
          <w:sz w:val="32"/>
          <w:szCs w:val="32"/>
        </w:rPr>
        <w:t>年深圳市罗湖区城市更新单元计划第一批计划》</w:t>
      </w:r>
    </w:p>
    <w:p>
      <w:pPr>
        <w:jc w:val="center"/>
        <w:rPr>
          <w:rFonts w:hint="eastAsia" w:ascii="Calibri" w:hAnsi="Calibri" w:eastAsia="仿宋_GB2312" w:cs="Times New Roman"/>
          <w:b/>
          <w:color w:val="auto"/>
          <w:sz w:val="28"/>
          <w:szCs w:val="22"/>
          <w:lang w:eastAsia="zh-CN"/>
        </w:rPr>
      </w:pPr>
      <w:r>
        <w:rPr>
          <w:rFonts w:hint="eastAsia" w:ascii="仿宋_GB2312" w:hAnsi="仿宋" w:eastAsia="仿宋_GB2312" w:cs="仿宋_GB2312"/>
          <w:b/>
          <w:bCs/>
          <w:color w:val="auto"/>
          <w:sz w:val="32"/>
          <w:szCs w:val="32"/>
          <w:lang w:eastAsia="zh-CN"/>
        </w:rPr>
        <w:t>（有效期调整）</w:t>
      </w:r>
      <w:r>
        <w:rPr>
          <w:rFonts w:hint="eastAsia" w:ascii="仿宋_GB2312" w:hAnsi="仿宋" w:eastAsia="仿宋_GB2312" w:cs="仿宋_GB2312"/>
          <w:b/>
          <w:bCs/>
          <w:color w:val="auto"/>
          <w:sz w:val="32"/>
          <w:szCs w:val="32"/>
        </w:rPr>
        <w:t>一览表</w:t>
      </w:r>
    </w:p>
    <w:bookmarkEnd w:id="0"/>
    <w:p>
      <w:pPr>
        <w:spacing w:line="288" w:lineRule="auto"/>
        <w:jc w:val="center"/>
        <w:rPr>
          <w:rFonts w:ascii="Calibri" w:hAnsi="Calibri" w:eastAsia="宋体" w:cs="Times New Roman"/>
          <w:color w:val="auto"/>
          <w:szCs w:val="22"/>
        </w:rPr>
      </w:pPr>
    </w:p>
    <w:tbl>
      <w:tblPr>
        <w:tblStyle w:val="2"/>
        <w:tblW w:w="498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87"/>
        <w:gridCol w:w="781"/>
        <w:gridCol w:w="851"/>
        <w:gridCol w:w="1576"/>
        <w:gridCol w:w="1195"/>
        <w:gridCol w:w="1811"/>
        <w:gridCol w:w="32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9" w:hRule="atLeast"/>
        </w:trPr>
        <w:tc>
          <w:tcPr>
            <w:tcW w:w="245" w:type="pct"/>
            <w:vAlign w:val="center"/>
          </w:tcPr>
          <w:p>
            <w:pPr>
              <w:spacing w:line="288" w:lineRule="auto"/>
              <w:jc w:val="center"/>
              <w:rPr>
                <w:rFonts w:ascii="Calibri" w:hAnsi="Calibri" w:eastAsia="宋体" w:cs="Times New Roman"/>
                <w:color w:val="auto"/>
                <w:sz w:val="22"/>
                <w:szCs w:val="24"/>
              </w:rPr>
            </w:pPr>
            <w:r>
              <w:rPr>
                <w:rFonts w:hint="eastAsia" w:ascii="Calibri" w:hAnsi="Calibri" w:eastAsia="宋体" w:cs="Times New Roman"/>
                <w:color w:val="auto"/>
                <w:sz w:val="22"/>
                <w:szCs w:val="24"/>
              </w:rPr>
              <w:t>编号</w:t>
            </w:r>
          </w:p>
        </w:tc>
        <w:tc>
          <w:tcPr>
            <w:tcW w:w="393" w:type="pct"/>
            <w:vAlign w:val="center"/>
          </w:tcPr>
          <w:p>
            <w:pPr>
              <w:spacing w:line="288" w:lineRule="auto"/>
              <w:jc w:val="center"/>
              <w:rPr>
                <w:rFonts w:ascii="Calibri" w:hAnsi="Calibri" w:eastAsia="宋体" w:cs="Times New Roman"/>
                <w:color w:val="auto"/>
                <w:sz w:val="22"/>
                <w:szCs w:val="24"/>
              </w:rPr>
            </w:pPr>
            <w:r>
              <w:rPr>
                <w:rFonts w:hint="eastAsia" w:ascii="Calibri" w:hAnsi="Calibri" w:eastAsia="宋体" w:cs="Times New Roman"/>
                <w:color w:val="auto"/>
                <w:sz w:val="22"/>
                <w:szCs w:val="24"/>
              </w:rPr>
              <w:t>辖区</w:t>
            </w:r>
          </w:p>
        </w:tc>
        <w:tc>
          <w:tcPr>
            <w:tcW w:w="428" w:type="pct"/>
            <w:vAlign w:val="center"/>
          </w:tcPr>
          <w:p>
            <w:pPr>
              <w:spacing w:line="288" w:lineRule="auto"/>
              <w:jc w:val="center"/>
              <w:rPr>
                <w:rFonts w:ascii="Calibri" w:hAnsi="Calibri" w:eastAsia="宋体" w:cs="Times New Roman"/>
                <w:color w:val="auto"/>
                <w:sz w:val="22"/>
                <w:szCs w:val="24"/>
              </w:rPr>
            </w:pPr>
            <w:r>
              <w:rPr>
                <w:rFonts w:hint="eastAsia" w:ascii="Calibri" w:hAnsi="Calibri" w:eastAsia="宋体" w:cs="Times New Roman"/>
                <w:color w:val="auto"/>
                <w:sz w:val="22"/>
                <w:szCs w:val="24"/>
              </w:rPr>
              <w:t>街道</w:t>
            </w:r>
          </w:p>
        </w:tc>
        <w:tc>
          <w:tcPr>
            <w:tcW w:w="793" w:type="pct"/>
            <w:vAlign w:val="center"/>
          </w:tcPr>
          <w:p>
            <w:pPr>
              <w:spacing w:line="288" w:lineRule="auto"/>
              <w:jc w:val="center"/>
              <w:rPr>
                <w:rFonts w:ascii="Calibri" w:hAnsi="Calibri" w:eastAsia="宋体" w:cs="Times New Roman"/>
                <w:color w:val="auto"/>
                <w:sz w:val="22"/>
                <w:szCs w:val="24"/>
              </w:rPr>
            </w:pPr>
            <w:r>
              <w:rPr>
                <w:rFonts w:hint="eastAsia" w:ascii="Calibri" w:hAnsi="Calibri" w:eastAsia="宋体" w:cs="Times New Roman"/>
                <w:color w:val="auto"/>
                <w:sz w:val="22"/>
                <w:szCs w:val="24"/>
              </w:rPr>
              <w:t>项目名称</w:t>
            </w:r>
          </w:p>
        </w:tc>
        <w:tc>
          <w:tcPr>
            <w:tcW w:w="601" w:type="pct"/>
            <w:vAlign w:val="center"/>
          </w:tcPr>
          <w:p>
            <w:pPr>
              <w:spacing w:line="288" w:lineRule="auto"/>
              <w:jc w:val="center"/>
              <w:rPr>
                <w:rFonts w:ascii="Calibri" w:hAnsi="Calibri" w:eastAsia="宋体" w:cs="Times New Roman"/>
                <w:color w:val="auto"/>
                <w:sz w:val="22"/>
                <w:szCs w:val="24"/>
              </w:rPr>
            </w:pPr>
            <w:r>
              <w:rPr>
                <w:rFonts w:hint="eastAsia" w:ascii="Calibri" w:hAnsi="Calibri" w:eastAsia="宋体" w:cs="Times New Roman"/>
                <w:color w:val="auto"/>
                <w:sz w:val="22"/>
                <w:szCs w:val="24"/>
              </w:rPr>
              <w:t>计划申报主体</w:t>
            </w:r>
          </w:p>
        </w:tc>
        <w:tc>
          <w:tcPr>
            <w:tcW w:w="911" w:type="pct"/>
            <w:vAlign w:val="center"/>
          </w:tcPr>
          <w:p>
            <w:pPr>
              <w:spacing w:line="288" w:lineRule="auto"/>
              <w:jc w:val="center"/>
              <w:rPr>
                <w:rFonts w:ascii="Calibri" w:hAnsi="Calibri" w:eastAsia="宋体" w:cs="Times New Roman"/>
                <w:color w:val="auto"/>
                <w:sz w:val="22"/>
                <w:szCs w:val="24"/>
              </w:rPr>
            </w:pPr>
            <w:r>
              <w:rPr>
                <w:rFonts w:hint="eastAsia" w:ascii="Calibri" w:hAnsi="Calibri" w:eastAsia="宋体" w:cs="Times New Roman"/>
                <w:color w:val="auto"/>
                <w:sz w:val="22"/>
                <w:szCs w:val="24"/>
              </w:rPr>
              <w:t>拟拆除重建用地面积（平方米）</w:t>
            </w:r>
          </w:p>
        </w:tc>
        <w:tc>
          <w:tcPr>
            <w:tcW w:w="1624" w:type="pct"/>
            <w:vAlign w:val="center"/>
          </w:tcPr>
          <w:p>
            <w:pPr>
              <w:spacing w:line="288" w:lineRule="auto"/>
              <w:jc w:val="center"/>
              <w:rPr>
                <w:rFonts w:ascii="Calibri" w:hAnsi="Calibri" w:eastAsia="宋体" w:cs="Times New Roman"/>
                <w:color w:val="auto"/>
                <w:sz w:val="22"/>
                <w:szCs w:val="24"/>
              </w:rPr>
            </w:pPr>
            <w:r>
              <w:rPr>
                <w:rFonts w:hint="eastAsia" w:ascii="Calibri" w:hAnsi="Calibri" w:eastAsia="宋体" w:cs="Times New Roman"/>
                <w:color w:val="auto"/>
                <w:sz w:val="22"/>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 w:type="pct"/>
            <w:vAlign w:val="center"/>
          </w:tcPr>
          <w:p>
            <w:pPr>
              <w:widowControl/>
              <w:numPr>
                <w:ilvl w:val="0"/>
                <w:numId w:val="0"/>
              </w:numPr>
              <w:ind w:leftChars="0"/>
              <w:jc w:val="both"/>
              <w:rPr>
                <w:rFonts w:ascii="Calibri" w:hAnsi="Calibri" w:eastAsia="宋体" w:cs="Times New Roman"/>
                <w:color w:val="auto"/>
                <w:kern w:val="2"/>
                <w:sz w:val="22"/>
                <w:szCs w:val="24"/>
                <w:lang w:val="en-US" w:eastAsia="zh-CN" w:bidi="ar-SA"/>
              </w:rPr>
            </w:pPr>
            <w:r>
              <w:rPr>
                <w:rFonts w:hint="eastAsia" w:ascii="宋体" w:hAnsi="宋体" w:eastAsia="宋体" w:cs="Times New Roman"/>
                <w:color w:val="auto"/>
                <w:kern w:val="2"/>
                <w:sz w:val="22"/>
                <w:szCs w:val="20"/>
                <w:lang w:val="en-US" w:eastAsia="zh-CN" w:bidi="ar-SA"/>
              </w:rPr>
              <w:t>1</w:t>
            </w:r>
          </w:p>
        </w:tc>
        <w:tc>
          <w:tcPr>
            <w:tcW w:w="393" w:type="pct"/>
            <w:vAlign w:val="center"/>
          </w:tcPr>
          <w:p>
            <w:pPr>
              <w:widowControl/>
              <w:ind w:firstLine="0" w:firstLineChars="0"/>
              <w:jc w:val="center"/>
              <w:rPr>
                <w:rFonts w:hint="eastAsia" w:ascii="Calibri" w:hAnsi="Calibri" w:eastAsia="宋体" w:cs="Times New Roman"/>
                <w:color w:val="auto"/>
                <w:kern w:val="2"/>
                <w:sz w:val="22"/>
                <w:szCs w:val="24"/>
                <w:lang w:val="en-US" w:eastAsia="zh-CN" w:bidi="ar-SA"/>
              </w:rPr>
            </w:pPr>
            <w:r>
              <w:rPr>
                <w:rFonts w:hint="eastAsia" w:ascii="宋体" w:hAnsi="宋体" w:eastAsia="宋体" w:cs="Times New Roman"/>
                <w:color w:val="auto"/>
                <w:kern w:val="2"/>
                <w:sz w:val="22"/>
                <w:szCs w:val="20"/>
                <w:lang w:val="en-US" w:eastAsia="zh-CN" w:bidi="ar-SA"/>
              </w:rPr>
              <w:t>罗湖区</w:t>
            </w:r>
          </w:p>
        </w:tc>
        <w:tc>
          <w:tcPr>
            <w:tcW w:w="428" w:type="pct"/>
            <w:vAlign w:val="center"/>
          </w:tcPr>
          <w:p>
            <w:pPr>
              <w:widowControl/>
              <w:ind w:firstLine="0" w:firstLineChars="0"/>
              <w:jc w:val="center"/>
              <w:rPr>
                <w:rFonts w:ascii="Calibri" w:hAnsi="Calibri" w:eastAsia="宋体" w:cs="Times New Roman"/>
                <w:color w:val="auto"/>
                <w:kern w:val="2"/>
                <w:sz w:val="21"/>
                <w:szCs w:val="24"/>
                <w:lang w:val="en-US" w:eastAsia="zh-CN" w:bidi="ar-SA"/>
              </w:rPr>
            </w:pPr>
            <w:r>
              <w:rPr>
                <w:rFonts w:hint="eastAsia" w:ascii="宋体" w:hAnsi="宋体" w:eastAsia="宋体" w:cs="Times New Roman"/>
                <w:color w:val="auto"/>
                <w:kern w:val="2"/>
                <w:sz w:val="22"/>
                <w:szCs w:val="20"/>
                <w:lang w:val="en-US" w:eastAsia="zh-CN" w:bidi="ar-SA"/>
              </w:rPr>
              <w:t>东门街道</w:t>
            </w:r>
          </w:p>
        </w:tc>
        <w:tc>
          <w:tcPr>
            <w:tcW w:w="793" w:type="pct"/>
            <w:vAlign w:val="center"/>
          </w:tcPr>
          <w:p>
            <w:pPr>
              <w:widowControl/>
              <w:ind w:firstLine="0" w:firstLineChars="0"/>
              <w:jc w:val="center"/>
              <w:rPr>
                <w:rFonts w:ascii="Calibri" w:hAnsi="Calibri" w:eastAsia="宋体" w:cs="Times New Roman"/>
                <w:color w:val="auto"/>
                <w:kern w:val="2"/>
                <w:sz w:val="21"/>
                <w:szCs w:val="24"/>
                <w:lang w:val="en-US" w:eastAsia="zh-CN" w:bidi="ar-SA"/>
              </w:rPr>
            </w:pPr>
            <w:r>
              <w:rPr>
                <w:rFonts w:hint="eastAsia" w:ascii="宋体" w:hAnsi="宋体" w:eastAsia="宋体" w:cs="Times New Roman"/>
                <w:color w:val="auto"/>
                <w:kern w:val="2"/>
                <w:sz w:val="22"/>
                <w:szCs w:val="20"/>
                <w:lang w:val="en-US" w:eastAsia="zh-CN" w:bidi="ar-SA"/>
              </w:rPr>
              <w:t>罗湖区东门街道中国物贸大厦城市更新单元</w:t>
            </w:r>
          </w:p>
        </w:tc>
        <w:tc>
          <w:tcPr>
            <w:tcW w:w="601" w:type="pct"/>
            <w:vAlign w:val="center"/>
          </w:tcPr>
          <w:p>
            <w:pPr>
              <w:widowControl/>
              <w:ind w:firstLine="0" w:firstLineChars="0"/>
              <w:jc w:val="center"/>
              <w:rPr>
                <w:rFonts w:ascii="Calibri" w:hAnsi="Calibri" w:eastAsia="宋体" w:cs="Times New Roman"/>
                <w:color w:val="auto"/>
                <w:kern w:val="2"/>
                <w:sz w:val="21"/>
                <w:szCs w:val="24"/>
                <w:lang w:val="en-US" w:eastAsia="zh-CN" w:bidi="ar-SA"/>
              </w:rPr>
            </w:pPr>
            <w:r>
              <w:rPr>
                <w:rFonts w:hint="eastAsia" w:ascii="宋体" w:hAnsi="宋体" w:eastAsia="宋体" w:cs="Times New Roman"/>
                <w:color w:val="auto"/>
                <w:kern w:val="2"/>
                <w:sz w:val="22"/>
                <w:szCs w:val="20"/>
                <w:lang w:val="en-US" w:eastAsia="zh-CN" w:bidi="ar-SA"/>
              </w:rPr>
              <w:t>深圳市中物大厦联合有限公司</w:t>
            </w:r>
          </w:p>
        </w:tc>
        <w:tc>
          <w:tcPr>
            <w:tcW w:w="911" w:type="pct"/>
            <w:vAlign w:val="center"/>
          </w:tcPr>
          <w:p>
            <w:pPr>
              <w:widowControl/>
              <w:ind w:firstLine="0" w:firstLineChars="0"/>
              <w:jc w:val="center"/>
              <w:rPr>
                <w:rFonts w:ascii="Calibri" w:hAnsi="Calibri" w:eastAsia="宋体" w:cs="Times New Roman"/>
                <w:color w:val="auto"/>
                <w:kern w:val="2"/>
                <w:sz w:val="22"/>
                <w:szCs w:val="24"/>
                <w:lang w:val="en-US" w:eastAsia="zh-CN" w:bidi="ar-SA"/>
              </w:rPr>
            </w:pPr>
            <w:r>
              <w:rPr>
                <w:rFonts w:hint="eastAsia" w:ascii="宋体" w:hAnsi="宋体" w:eastAsia="宋体" w:cs="Times New Roman"/>
                <w:color w:val="auto"/>
                <w:kern w:val="2"/>
                <w:sz w:val="22"/>
                <w:szCs w:val="20"/>
                <w:lang w:val="en-US" w:eastAsia="zh-CN" w:bidi="ar-SA"/>
              </w:rPr>
              <w:t>4551</w:t>
            </w:r>
          </w:p>
        </w:tc>
        <w:tc>
          <w:tcPr>
            <w:tcW w:w="1624" w:type="pct"/>
            <w:vAlign w:val="center"/>
          </w:tcPr>
          <w:p>
            <w:pPr>
              <w:widowControl/>
              <w:numPr>
                <w:ilvl w:val="0"/>
                <w:numId w:val="0"/>
              </w:numPr>
              <w:jc w:val="both"/>
              <w:rPr>
                <w:rFonts w:hint="eastAsia" w:ascii="宋体" w:hAnsi="宋体" w:eastAsia="宋体" w:cs="宋体"/>
                <w:color w:val="auto"/>
                <w:kern w:val="2"/>
                <w:sz w:val="20"/>
                <w:szCs w:val="20"/>
                <w:lang w:val="en-US" w:eastAsia="zh-CN" w:bidi="ar-SA"/>
              </w:rPr>
            </w:pPr>
            <w:r>
              <w:rPr>
                <w:rFonts w:hint="default" w:ascii="Calibri" w:hAnsi="Calibri" w:eastAsia="宋体" w:cs="Calibri"/>
                <w:color w:val="auto"/>
                <w:kern w:val="2"/>
                <w:sz w:val="20"/>
                <w:szCs w:val="20"/>
                <w:lang w:val="en-US" w:eastAsia="zh-CN" w:bidi="ar-SA"/>
              </w:rPr>
              <w:t>①</w:t>
            </w:r>
            <w:r>
              <w:rPr>
                <w:rFonts w:hint="eastAsia" w:ascii="宋体" w:hAnsi="宋体" w:eastAsia="宋体" w:cs="宋体"/>
                <w:color w:val="auto"/>
                <w:kern w:val="2"/>
                <w:sz w:val="20"/>
                <w:szCs w:val="20"/>
                <w:lang w:val="en-US" w:eastAsia="zh-CN" w:bidi="ar-SA"/>
              </w:rPr>
              <w:t>拟更新方向为商业等功能；</w:t>
            </w:r>
          </w:p>
          <w:p>
            <w:pPr>
              <w:widowControl/>
              <w:ind w:left="0" w:firstLine="0" w:firstLineChars="0"/>
              <w:jc w:val="both"/>
              <w:rPr>
                <w:rFonts w:hint="eastAsia" w:ascii="宋体" w:hAnsi="宋体" w:eastAsia="宋体" w:cs="宋体"/>
                <w:color w:val="auto"/>
                <w:kern w:val="2"/>
                <w:sz w:val="20"/>
                <w:szCs w:val="20"/>
                <w:lang w:val="en-US" w:eastAsia="zh-CN" w:bidi="ar-SA"/>
              </w:rPr>
            </w:pPr>
            <w:r>
              <w:rPr>
                <w:rFonts w:hint="default" w:ascii="Calibri" w:hAnsi="Calibri" w:eastAsia="宋体" w:cs="Calibri"/>
                <w:color w:val="auto"/>
                <w:kern w:val="2"/>
                <w:sz w:val="20"/>
                <w:szCs w:val="20"/>
                <w:lang w:val="en-US" w:eastAsia="zh-CN" w:bidi="ar-SA"/>
              </w:rPr>
              <w:t>②</w:t>
            </w:r>
            <w:r>
              <w:rPr>
                <w:rFonts w:hint="eastAsia" w:ascii="宋体" w:hAnsi="宋体" w:eastAsia="宋体" w:cs="宋体"/>
                <w:color w:val="auto"/>
                <w:kern w:val="2"/>
                <w:sz w:val="20"/>
                <w:szCs w:val="20"/>
                <w:lang w:val="en-US" w:eastAsia="zh-CN" w:bidi="ar-SA"/>
              </w:rPr>
              <w:t>拟拆除重建范围可供无偿移交给政府的独立用地应当不小于拆除范围用地面积的30%，移交的土地除用于落实规划确定的城市基础设施、公共服务设施、城市公共利益项目等以外，其余部分可协议出让给项目实施主体按照规划进行建设；</w:t>
            </w:r>
          </w:p>
          <w:p>
            <w:pPr>
              <w:widowControl/>
              <w:ind w:left="0" w:leftChars="0" w:firstLine="0" w:firstLineChars="0"/>
              <w:jc w:val="left"/>
              <w:rPr>
                <w:rFonts w:ascii="Calibri" w:hAnsi="Calibri" w:eastAsia="宋体" w:cs="Times New Roman"/>
                <w:color w:val="auto"/>
                <w:kern w:val="2"/>
                <w:sz w:val="22"/>
                <w:szCs w:val="24"/>
                <w:lang w:val="en-US" w:eastAsia="zh-CN" w:bidi="ar-SA"/>
              </w:rPr>
            </w:pPr>
            <w:r>
              <w:rPr>
                <w:rFonts w:hint="default" w:ascii="Calibri" w:hAnsi="Calibri" w:eastAsia="宋体" w:cs="Calibri"/>
                <w:color w:val="auto"/>
                <w:kern w:val="2"/>
                <w:sz w:val="20"/>
                <w:szCs w:val="20"/>
                <w:lang w:val="en-US" w:eastAsia="zh-CN" w:bidi="ar-SA"/>
              </w:rPr>
              <w:t>③</w:t>
            </w:r>
            <w:r>
              <w:rPr>
                <w:rFonts w:hint="eastAsia" w:ascii="宋体" w:hAnsi="宋体" w:eastAsia="宋体" w:cs="宋体"/>
                <w:color w:val="auto"/>
                <w:kern w:val="2"/>
                <w:sz w:val="20"/>
                <w:szCs w:val="20"/>
                <w:lang w:val="en-US" w:eastAsia="zh-CN" w:bidi="ar-SA"/>
              </w:rPr>
              <w:t>更新单元计划有效期2年，自2023年3月16日起至2025年3月15日止。延期一年，有效期至2026年3月15日止。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7"/>
            <w:vAlign w:val="center"/>
          </w:tcPr>
          <w:p>
            <w:pPr>
              <w:widowControl/>
              <w:wordWrap w:val="0"/>
              <w:spacing w:beforeAutospacing="0" w:afterAutospacing="0" w:line="360" w:lineRule="atLeast"/>
              <w:jc w:val="left"/>
              <w:rPr>
                <w:rFonts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特别提示：</w:t>
            </w:r>
          </w:p>
          <w:p>
            <w:pPr>
              <w:widowControl/>
              <w:wordWrap w:val="0"/>
              <w:spacing w:beforeAutospacing="0" w:afterAutospacing="0" w:line="360" w:lineRule="atLeast"/>
              <w:jc w:val="left"/>
              <w:rPr>
                <w:rFonts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1.本表所列的城市更新单元须按照城市更新相关政策完成城市更新单元规划编制及项目实施主体确认工作后方可实施开发建设。</w:t>
            </w:r>
          </w:p>
          <w:p>
            <w:pPr>
              <w:widowControl/>
              <w:wordWrap w:val="0"/>
              <w:spacing w:beforeAutospacing="0" w:afterAutospacing="0" w:line="360" w:lineRule="atLeast"/>
              <w:jc w:val="left"/>
              <w:rPr>
                <w:rFonts w:hint="eastAsia"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2.本表所列“申报主体”仅为城市更新单元计划的申报主体，项目实施主体须依据城市更新政策规定的条件及程序进行确认后产生。</w:t>
            </w:r>
          </w:p>
          <w:p>
            <w:pPr>
              <w:widowControl/>
              <w:wordWrap w:val="0"/>
              <w:spacing w:beforeAutospacing="0" w:afterAutospacing="0" w:line="360" w:lineRule="atLeast"/>
              <w:jc w:val="left"/>
              <w:rPr>
                <w:rFonts w:hint="default"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3.计划有效期内，更新单元规划未获市政府或其授权机构批准的，更新单元失效。</w:t>
            </w:r>
          </w:p>
          <w:p>
            <w:pPr>
              <w:spacing w:line="288" w:lineRule="auto"/>
              <w:jc w:val="left"/>
              <w:rPr>
                <w:rFonts w:ascii="Calibri" w:hAnsi="Calibri" w:eastAsia="宋体" w:cs="Times New Roman"/>
                <w:color w:val="auto"/>
                <w:sz w:val="22"/>
                <w:szCs w:val="24"/>
              </w:rPr>
            </w:pPr>
            <w:r>
              <w:rPr>
                <w:rFonts w:hint="eastAsia" w:ascii="宋体" w:hAnsi="宋体" w:eastAsia="宋体" w:cs="宋体"/>
                <w:color w:val="auto"/>
                <w:kern w:val="2"/>
                <w:sz w:val="20"/>
                <w:szCs w:val="20"/>
                <w:lang w:val="en-US" w:eastAsia="zh-CN"/>
              </w:rPr>
              <w:t>4</w:t>
            </w:r>
            <w:r>
              <w:rPr>
                <w:rFonts w:hint="eastAsia" w:ascii="宋体" w:hAnsi="宋体" w:eastAsia="宋体" w:cs="宋体"/>
                <w:color w:val="auto"/>
                <w:kern w:val="2"/>
                <w:sz w:val="20"/>
                <w:szCs w:val="20"/>
              </w:rPr>
              <w:t>.本表所列城市更新单元的规划建设要求在城市更新单元规划审批过程中予以确定，除满足本表所列需求外，还应满足法定图则等上层次规划关于交通、市政、公共配套设施的建设要求和城市更新政策中公共利益项目等用地的移交要求。</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76FBE775"/>
    <w:rsid w:val="D7CFF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2018-07-11T23:11:00Z</dcterms:created>
  <dc:creator>d</dc:creator>
  <cp:lastModifiedBy>cxy</cp:lastModifiedBy>
  <dcterms:modified xsi:type="dcterms:W3CDTF">2025-05-21T10:01:14Z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E3FCDB4681BD8E9D65442C68A3D949C3</vt:lpwstr>
  </property>
</Properties>
</file>