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446" w:rsidRDefault="00874578">
      <w:pPr>
        <w:jc w:val="center"/>
      </w:pPr>
      <w:r>
        <w:rPr>
          <w:rFonts w:hint="eastAsia"/>
          <w:b/>
          <w:sz w:val="30"/>
          <w:szCs w:val="30"/>
        </w:rPr>
        <w:t>附件</w:t>
      </w:r>
      <w:r>
        <w:rPr>
          <w:rFonts w:hint="eastAsia"/>
          <w:b/>
          <w:sz w:val="30"/>
          <w:szCs w:val="30"/>
        </w:rPr>
        <w:t>2</w:t>
      </w:r>
      <w:r>
        <w:rPr>
          <w:rFonts w:hint="eastAsia"/>
          <w:b/>
          <w:sz w:val="30"/>
          <w:szCs w:val="30"/>
        </w:rPr>
        <w:t>：《罗湖区重点产业项目遴选办法（征求意见稿）》听证会意见、建议及反馈情况一览表</w:t>
      </w:r>
    </w:p>
    <w:p w:rsidR="009E0446" w:rsidRDefault="009E0446"/>
    <w:tbl>
      <w:tblPr>
        <w:tblStyle w:val="a5"/>
        <w:tblW w:w="13357" w:type="dxa"/>
        <w:jc w:val="center"/>
        <w:tblLayout w:type="fixed"/>
        <w:tblLook w:val="04A0"/>
      </w:tblPr>
      <w:tblGrid>
        <w:gridCol w:w="675"/>
        <w:gridCol w:w="7275"/>
        <w:gridCol w:w="690"/>
        <w:gridCol w:w="4717"/>
      </w:tblGrid>
      <w:tr w:rsidR="009E0446">
        <w:trPr>
          <w:jc w:val="center"/>
        </w:trPr>
        <w:tc>
          <w:tcPr>
            <w:tcW w:w="675" w:type="dxa"/>
            <w:vAlign w:val="center"/>
          </w:tcPr>
          <w:p w:rsidR="009E0446" w:rsidRDefault="00874578">
            <w:pPr>
              <w:jc w:val="center"/>
              <w:rPr>
                <w:rFonts w:ascii="仿宋" w:eastAsia="仿宋" w:hAnsi="仿宋" w:cs="仿宋"/>
                <w:b/>
                <w:bCs/>
                <w:szCs w:val="21"/>
              </w:rPr>
            </w:pPr>
            <w:bookmarkStart w:id="0" w:name="_GoBack"/>
            <w:bookmarkEnd w:id="0"/>
            <w:r>
              <w:rPr>
                <w:rFonts w:ascii="仿宋" w:eastAsia="仿宋" w:hAnsi="仿宋" w:cs="仿宋" w:hint="eastAsia"/>
                <w:b/>
                <w:bCs/>
                <w:szCs w:val="21"/>
              </w:rPr>
              <w:t>意见序号</w:t>
            </w:r>
          </w:p>
        </w:tc>
        <w:tc>
          <w:tcPr>
            <w:tcW w:w="7275" w:type="dxa"/>
            <w:vAlign w:val="center"/>
          </w:tcPr>
          <w:p w:rsidR="009E0446" w:rsidRDefault="00874578">
            <w:pPr>
              <w:jc w:val="center"/>
              <w:rPr>
                <w:rFonts w:ascii="仿宋" w:eastAsia="仿宋" w:hAnsi="仿宋" w:cs="仿宋"/>
                <w:b/>
                <w:bCs/>
                <w:szCs w:val="21"/>
              </w:rPr>
            </w:pPr>
            <w:r>
              <w:rPr>
                <w:rFonts w:ascii="仿宋" w:eastAsia="仿宋" w:hAnsi="仿宋" w:cs="仿宋" w:hint="eastAsia"/>
                <w:b/>
                <w:bCs/>
                <w:szCs w:val="21"/>
              </w:rPr>
              <w:t>相关意见及建议</w:t>
            </w:r>
          </w:p>
        </w:tc>
        <w:tc>
          <w:tcPr>
            <w:tcW w:w="690" w:type="dxa"/>
            <w:vAlign w:val="center"/>
          </w:tcPr>
          <w:p w:rsidR="009E0446" w:rsidRDefault="00874578">
            <w:pPr>
              <w:jc w:val="center"/>
              <w:rPr>
                <w:rFonts w:ascii="仿宋" w:eastAsia="仿宋" w:hAnsi="仿宋" w:cs="仿宋"/>
                <w:b/>
                <w:bCs/>
                <w:szCs w:val="21"/>
              </w:rPr>
            </w:pPr>
            <w:r>
              <w:rPr>
                <w:rFonts w:ascii="仿宋" w:eastAsia="仿宋" w:hAnsi="仿宋" w:cs="仿宋" w:hint="eastAsia"/>
                <w:b/>
                <w:bCs/>
                <w:szCs w:val="21"/>
              </w:rPr>
              <w:t>是否采纳</w:t>
            </w:r>
          </w:p>
        </w:tc>
        <w:tc>
          <w:tcPr>
            <w:tcW w:w="4717" w:type="dxa"/>
            <w:vAlign w:val="center"/>
          </w:tcPr>
          <w:p w:rsidR="009E0446" w:rsidRDefault="00874578">
            <w:pPr>
              <w:jc w:val="center"/>
              <w:rPr>
                <w:rFonts w:ascii="仿宋" w:eastAsia="仿宋" w:hAnsi="仿宋" w:cs="仿宋"/>
                <w:b/>
                <w:bCs/>
                <w:szCs w:val="21"/>
              </w:rPr>
            </w:pPr>
            <w:r>
              <w:rPr>
                <w:rFonts w:ascii="仿宋" w:eastAsia="仿宋" w:hAnsi="仿宋" w:cs="仿宋" w:hint="eastAsia"/>
                <w:b/>
                <w:bCs/>
                <w:szCs w:val="21"/>
              </w:rPr>
              <w:t>理由</w:t>
            </w:r>
          </w:p>
        </w:tc>
      </w:tr>
      <w:tr w:rsidR="009E0446">
        <w:trPr>
          <w:trHeight w:val="122"/>
          <w:jc w:val="center"/>
        </w:trPr>
        <w:tc>
          <w:tcPr>
            <w:tcW w:w="675"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t>1</w:t>
            </w:r>
          </w:p>
        </w:tc>
        <w:tc>
          <w:tcPr>
            <w:tcW w:w="7275"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在《办法》中增设章节指引。</w:t>
            </w:r>
          </w:p>
        </w:tc>
        <w:tc>
          <w:tcPr>
            <w:tcW w:w="690" w:type="dxa"/>
            <w:vAlign w:val="center"/>
          </w:tcPr>
          <w:p w:rsidR="009E0446" w:rsidRDefault="00874578">
            <w:pPr>
              <w:rPr>
                <w:rFonts w:ascii="仿宋" w:eastAsia="仿宋" w:hAnsi="仿宋" w:cs="仿宋"/>
                <w:szCs w:val="21"/>
              </w:rPr>
            </w:pPr>
            <w:r>
              <w:rPr>
                <w:rFonts w:ascii="仿宋" w:eastAsia="仿宋" w:hAnsi="仿宋" w:cs="仿宋" w:hint="eastAsia"/>
                <w:szCs w:val="21"/>
              </w:rPr>
              <w:t>解释</w:t>
            </w:r>
          </w:p>
        </w:tc>
        <w:tc>
          <w:tcPr>
            <w:tcW w:w="4717" w:type="dxa"/>
            <w:vAlign w:val="center"/>
          </w:tcPr>
          <w:p w:rsidR="009E0446" w:rsidRDefault="00874578">
            <w:pPr>
              <w:rPr>
                <w:rFonts w:ascii="仿宋" w:eastAsia="仿宋" w:hAnsi="仿宋" w:cs="仿宋"/>
                <w:szCs w:val="21"/>
              </w:rPr>
            </w:pPr>
            <w:r>
              <w:rPr>
                <w:rFonts w:ascii="仿宋" w:eastAsia="仿宋" w:hAnsi="仿宋" w:cs="仿宋" w:hint="eastAsia"/>
                <w:szCs w:val="21"/>
              </w:rPr>
              <w:t>整个办法条文相对比较少，总计</w:t>
            </w:r>
            <w:r>
              <w:rPr>
                <w:rFonts w:ascii="仿宋" w:eastAsia="仿宋" w:hAnsi="仿宋" w:cs="仿宋" w:hint="eastAsia"/>
                <w:szCs w:val="21"/>
              </w:rPr>
              <w:t>27</w:t>
            </w:r>
            <w:r>
              <w:rPr>
                <w:rFonts w:ascii="仿宋" w:eastAsia="仿宋" w:hAnsi="仿宋" w:cs="仿宋" w:hint="eastAsia"/>
                <w:szCs w:val="21"/>
              </w:rPr>
              <w:t>条，因而不再分章节。该做法在政策文件中也较常见。</w:t>
            </w:r>
          </w:p>
        </w:tc>
      </w:tr>
      <w:tr w:rsidR="009E0446">
        <w:trPr>
          <w:trHeight w:val="122"/>
          <w:jc w:val="center"/>
        </w:trPr>
        <w:tc>
          <w:tcPr>
            <w:tcW w:w="675"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t>2</w:t>
            </w:r>
          </w:p>
        </w:tc>
        <w:tc>
          <w:tcPr>
            <w:tcW w:w="7275"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关于《办法》第二条的建议：建议将“符合我市”文字部分删除，“市政府审定的其他项目类型”修改为“区政府审定的其他项目类型”。</w:t>
            </w:r>
          </w:p>
        </w:tc>
        <w:tc>
          <w:tcPr>
            <w:tcW w:w="690" w:type="dxa"/>
            <w:vAlign w:val="center"/>
          </w:tcPr>
          <w:p w:rsidR="009E0446" w:rsidRDefault="00874578">
            <w:pPr>
              <w:rPr>
                <w:rFonts w:ascii="仿宋" w:eastAsia="仿宋" w:hAnsi="仿宋" w:cs="仿宋"/>
                <w:szCs w:val="21"/>
              </w:rPr>
            </w:pPr>
            <w:r>
              <w:rPr>
                <w:rFonts w:ascii="仿宋" w:eastAsia="仿宋" w:hAnsi="仿宋" w:cs="仿宋" w:hint="eastAsia"/>
                <w:szCs w:val="21"/>
              </w:rPr>
              <w:t>采纳</w:t>
            </w:r>
          </w:p>
        </w:tc>
        <w:tc>
          <w:tcPr>
            <w:tcW w:w="4717" w:type="dxa"/>
            <w:vAlign w:val="center"/>
          </w:tcPr>
          <w:p w:rsidR="009E0446" w:rsidRDefault="00874578">
            <w:pPr>
              <w:rPr>
                <w:rFonts w:ascii="仿宋" w:eastAsia="仿宋" w:hAnsi="仿宋" w:cs="仿宋"/>
                <w:szCs w:val="21"/>
              </w:rPr>
            </w:pPr>
            <w:r>
              <w:rPr>
                <w:rFonts w:ascii="仿宋" w:eastAsia="仿宋" w:hAnsi="仿宋" w:cs="仿宋" w:hint="eastAsia"/>
                <w:szCs w:val="21"/>
              </w:rPr>
              <w:t>已对第二条进行相应修改。</w:t>
            </w:r>
          </w:p>
        </w:tc>
      </w:tr>
      <w:tr w:rsidR="009E0446">
        <w:trPr>
          <w:trHeight w:val="122"/>
          <w:jc w:val="center"/>
        </w:trPr>
        <w:tc>
          <w:tcPr>
            <w:tcW w:w="675"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t>3</w:t>
            </w:r>
          </w:p>
        </w:tc>
        <w:tc>
          <w:tcPr>
            <w:tcW w:w="7275"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对于联合申报的，在建筑规模分配上面是按企业之间的贡献率来分吗？分配主体是遴选小组决定还是由申报企业自行协商决定？</w:t>
            </w:r>
          </w:p>
        </w:tc>
        <w:tc>
          <w:tcPr>
            <w:tcW w:w="690" w:type="dxa"/>
            <w:vAlign w:val="center"/>
          </w:tcPr>
          <w:p w:rsidR="009E0446" w:rsidRDefault="00874578">
            <w:pPr>
              <w:rPr>
                <w:rFonts w:ascii="仿宋" w:eastAsia="仿宋" w:hAnsi="仿宋" w:cs="仿宋"/>
                <w:szCs w:val="21"/>
              </w:rPr>
            </w:pPr>
            <w:r>
              <w:rPr>
                <w:rFonts w:ascii="仿宋" w:eastAsia="仿宋" w:hAnsi="仿宋" w:cs="仿宋" w:hint="eastAsia"/>
                <w:szCs w:val="21"/>
              </w:rPr>
              <w:t>解释</w:t>
            </w:r>
          </w:p>
        </w:tc>
        <w:tc>
          <w:tcPr>
            <w:tcW w:w="4717" w:type="dxa"/>
            <w:vAlign w:val="center"/>
          </w:tcPr>
          <w:p w:rsidR="009E0446" w:rsidRDefault="00874578">
            <w:pPr>
              <w:rPr>
                <w:rFonts w:ascii="仿宋" w:eastAsia="仿宋" w:hAnsi="仿宋" w:cs="仿宋"/>
                <w:szCs w:val="21"/>
              </w:rPr>
            </w:pPr>
            <w:r>
              <w:rPr>
                <w:rFonts w:ascii="仿宋" w:eastAsia="仿宋" w:hAnsi="仿宋" w:cs="仿宋" w:hint="eastAsia"/>
                <w:szCs w:val="21"/>
              </w:rPr>
              <w:t>依据《办法》的规定，综合考虑企业的现状、承诺的产值、税收及产出效率等因素来评判企业申报的建筑规模是否合理，从本质上而言，是按贡献率来分配的；企业可先按承诺的产值、税收及产出效率提出申请，在审查过程中主管部门会结合相关数据及实际情况进行较正。</w:t>
            </w:r>
          </w:p>
        </w:tc>
      </w:tr>
      <w:tr w:rsidR="009E0446">
        <w:trPr>
          <w:trHeight w:val="122"/>
          <w:jc w:val="center"/>
        </w:trPr>
        <w:tc>
          <w:tcPr>
            <w:tcW w:w="675"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t>4</w:t>
            </w:r>
          </w:p>
        </w:tc>
        <w:tc>
          <w:tcPr>
            <w:tcW w:w="7275"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考虑竞得土地到实际投产存在较长时间差的情况，第四条关于产值及税收承诺额均从竞得土地之日起计算，是否合理？</w:t>
            </w:r>
          </w:p>
        </w:tc>
        <w:tc>
          <w:tcPr>
            <w:tcW w:w="690" w:type="dxa"/>
            <w:vAlign w:val="center"/>
          </w:tcPr>
          <w:p w:rsidR="009E0446" w:rsidRDefault="00874578">
            <w:pPr>
              <w:rPr>
                <w:rFonts w:ascii="仿宋" w:eastAsia="仿宋" w:hAnsi="仿宋" w:cs="仿宋"/>
                <w:szCs w:val="21"/>
              </w:rPr>
            </w:pPr>
            <w:r>
              <w:rPr>
                <w:rFonts w:ascii="仿宋" w:eastAsia="仿宋" w:hAnsi="仿宋" w:cs="仿宋" w:hint="eastAsia"/>
                <w:szCs w:val="21"/>
              </w:rPr>
              <w:t>解释</w:t>
            </w:r>
          </w:p>
        </w:tc>
        <w:tc>
          <w:tcPr>
            <w:tcW w:w="4717" w:type="dxa"/>
            <w:vAlign w:val="center"/>
          </w:tcPr>
          <w:p w:rsidR="009E0446" w:rsidRDefault="00874578">
            <w:pPr>
              <w:rPr>
                <w:rFonts w:ascii="仿宋" w:eastAsia="仿宋" w:hAnsi="仿宋" w:cs="仿宋"/>
                <w:szCs w:val="21"/>
              </w:rPr>
            </w:pPr>
            <w:r>
              <w:rPr>
                <w:rFonts w:ascii="仿宋" w:eastAsia="仿宋" w:hAnsi="仿宋" w:cs="仿宋" w:hint="eastAsia"/>
                <w:szCs w:val="21"/>
              </w:rPr>
              <w:t>第四条之所以这样设置是希望企业能</w:t>
            </w:r>
            <w:r>
              <w:rPr>
                <w:rFonts w:ascii="仿宋" w:eastAsia="仿宋" w:hAnsi="仿宋" w:cs="仿宋" w:hint="eastAsia"/>
                <w:szCs w:val="21"/>
              </w:rPr>
              <w:t>够先进入罗湖区，先考虑采用租赁用地用房等方式投入生产，这样是可以保证企业的产值、税收及产出效率等承诺额的。从另一个角度来讲，企业只有在竞得土地后就投入生产、确保相关承诺数额得到落实，政府供地的初衷才能得以实现，尽量减少“空头承诺”出现的风险，而且根据罗湖区往年遴选重点产业项目的经验，这样规定也是符合实际情况、切实可行的。</w:t>
            </w:r>
          </w:p>
        </w:tc>
      </w:tr>
      <w:tr w:rsidR="009E0446">
        <w:trPr>
          <w:trHeight w:val="122"/>
          <w:jc w:val="center"/>
        </w:trPr>
        <w:tc>
          <w:tcPr>
            <w:tcW w:w="675"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t>5</w:t>
            </w:r>
          </w:p>
        </w:tc>
        <w:tc>
          <w:tcPr>
            <w:tcW w:w="7275"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第三条和第四条能否合为一条？另外“意向用地单位”中的“意向”能否改为“参选”或者“入选”等词语。</w:t>
            </w:r>
          </w:p>
        </w:tc>
        <w:tc>
          <w:tcPr>
            <w:tcW w:w="690" w:type="dxa"/>
            <w:vAlign w:val="center"/>
          </w:tcPr>
          <w:p w:rsidR="009E0446" w:rsidRDefault="00874578">
            <w:pPr>
              <w:rPr>
                <w:rFonts w:ascii="仿宋" w:eastAsia="仿宋" w:hAnsi="仿宋" w:cs="仿宋"/>
                <w:szCs w:val="21"/>
              </w:rPr>
            </w:pPr>
            <w:r>
              <w:rPr>
                <w:rFonts w:ascii="仿宋" w:eastAsia="仿宋" w:hAnsi="仿宋" w:cs="仿宋" w:hint="eastAsia"/>
                <w:szCs w:val="21"/>
              </w:rPr>
              <w:t>解释</w:t>
            </w:r>
          </w:p>
        </w:tc>
        <w:tc>
          <w:tcPr>
            <w:tcW w:w="4717"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《办法》第三条对意向用地单位的规定，是为了确保申请参加遴选的单位是有相当实力的企业，</w:t>
            </w:r>
            <w:r>
              <w:rPr>
                <w:rFonts w:ascii="仿宋" w:eastAsia="仿宋" w:hAnsi="仿宋" w:cs="仿宋" w:hint="eastAsia"/>
                <w:szCs w:val="21"/>
              </w:rPr>
              <w:lastRenderedPageBreak/>
              <w:t>是对申请企业现状的要求。而设置第四条的目的则主要是想在企业取得用地之后，保证其发展的产业及企业的发展达到一定的要求，确保遴选的目的得以落实。两者的规范目的是不同的。</w:t>
            </w:r>
          </w:p>
          <w:p w:rsidR="009E0446" w:rsidRDefault="00874578">
            <w:pPr>
              <w:ind w:firstLineChars="200" w:firstLine="420"/>
              <w:jc w:val="left"/>
              <w:rPr>
                <w:rFonts w:ascii="仿宋" w:eastAsia="仿宋" w:hAnsi="仿宋" w:cs="仿宋"/>
                <w:szCs w:val="21"/>
              </w:rPr>
            </w:pPr>
            <w:r>
              <w:rPr>
                <w:rFonts w:ascii="仿宋" w:eastAsia="仿宋" w:hAnsi="仿宋" w:cs="仿宋" w:hint="eastAsia"/>
                <w:szCs w:val="21"/>
              </w:rPr>
              <w:t>“意向用地单位”是市层面立法中的表述，采用同样的表述有利于保持与上位法的衔接。</w:t>
            </w:r>
          </w:p>
        </w:tc>
      </w:tr>
      <w:tr w:rsidR="009E0446">
        <w:trPr>
          <w:trHeight w:val="37"/>
          <w:jc w:val="center"/>
        </w:trPr>
        <w:tc>
          <w:tcPr>
            <w:tcW w:w="675"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lastRenderedPageBreak/>
              <w:t>6</w:t>
            </w:r>
          </w:p>
        </w:tc>
        <w:tc>
          <w:tcPr>
            <w:tcW w:w="7275"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《办法》第五条提出涉及的用地类型仅限于</w:t>
            </w:r>
            <w:r>
              <w:rPr>
                <w:rFonts w:ascii="仿宋" w:eastAsia="仿宋" w:hAnsi="仿宋" w:cs="仿宋" w:hint="eastAsia"/>
                <w:szCs w:val="21"/>
              </w:rPr>
              <w:t>M1</w:t>
            </w:r>
            <w:r>
              <w:rPr>
                <w:rFonts w:ascii="仿宋" w:eastAsia="仿宋" w:hAnsi="仿宋" w:cs="仿宋" w:hint="eastAsia"/>
                <w:szCs w:val="21"/>
              </w:rPr>
              <w:t>、</w:t>
            </w:r>
            <w:r>
              <w:rPr>
                <w:rFonts w:ascii="仿宋" w:eastAsia="仿宋" w:hAnsi="仿宋" w:cs="仿宋" w:hint="eastAsia"/>
                <w:szCs w:val="21"/>
              </w:rPr>
              <w:t>M0</w:t>
            </w:r>
            <w:r>
              <w:rPr>
                <w:rFonts w:ascii="仿宋" w:eastAsia="仿宋" w:hAnsi="仿宋" w:cs="仿宋" w:hint="eastAsia"/>
                <w:szCs w:val="21"/>
              </w:rPr>
              <w:t>、</w:t>
            </w:r>
            <w:r>
              <w:rPr>
                <w:rFonts w:ascii="仿宋" w:eastAsia="仿宋" w:hAnsi="仿宋" w:cs="仿宋" w:hint="eastAsia"/>
                <w:szCs w:val="21"/>
              </w:rPr>
              <w:t>W0</w:t>
            </w:r>
            <w:r>
              <w:rPr>
                <w:rFonts w:ascii="仿宋" w:eastAsia="仿宋" w:hAnsi="仿宋" w:cs="仿宋" w:hint="eastAsia"/>
                <w:szCs w:val="21"/>
              </w:rPr>
              <w:t>和</w:t>
            </w:r>
            <w:r>
              <w:rPr>
                <w:rFonts w:ascii="仿宋" w:eastAsia="仿宋" w:hAnsi="仿宋" w:cs="仿宋" w:hint="eastAsia"/>
                <w:szCs w:val="21"/>
              </w:rPr>
              <w:t>W1,</w:t>
            </w:r>
            <w:r>
              <w:rPr>
                <w:rFonts w:ascii="仿宋" w:eastAsia="仿宋" w:hAnsi="仿宋" w:cs="仿宋" w:hint="eastAsia"/>
                <w:szCs w:val="21"/>
              </w:rPr>
              <w:t>建议对于含上述用地类型的混合用途用地也适用。另外应同时鼓励不同类型的企业联合竞得土地，形成一个完整的产业链。</w:t>
            </w:r>
          </w:p>
        </w:tc>
        <w:tc>
          <w:tcPr>
            <w:tcW w:w="690" w:type="dxa"/>
            <w:vAlign w:val="center"/>
          </w:tcPr>
          <w:p w:rsidR="009E0446" w:rsidRDefault="00874578">
            <w:pPr>
              <w:rPr>
                <w:rFonts w:ascii="仿宋" w:eastAsia="仿宋" w:hAnsi="仿宋" w:cs="仿宋"/>
                <w:szCs w:val="21"/>
              </w:rPr>
            </w:pPr>
            <w:r>
              <w:rPr>
                <w:rFonts w:ascii="仿宋" w:eastAsia="仿宋" w:hAnsi="仿宋" w:cs="仿宋" w:hint="eastAsia"/>
                <w:szCs w:val="21"/>
              </w:rPr>
              <w:t>解释</w:t>
            </w:r>
          </w:p>
        </w:tc>
        <w:tc>
          <w:tcPr>
            <w:tcW w:w="4717"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联合用地也是《办法》鼓励的一个方向，在产值、承诺额等方面都给予了支持与变通，在《办法》的第三、四条中均有相应的规定。</w:t>
            </w:r>
          </w:p>
          <w:p w:rsidR="009E0446" w:rsidRDefault="00874578">
            <w:pPr>
              <w:jc w:val="left"/>
              <w:rPr>
                <w:rFonts w:ascii="仿宋" w:eastAsia="仿宋" w:hAnsi="仿宋" w:cs="仿宋"/>
                <w:szCs w:val="21"/>
              </w:rPr>
            </w:pPr>
            <w:r>
              <w:rPr>
                <w:rFonts w:ascii="仿宋" w:eastAsia="仿宋" w:hAnsi="仿宋" w:cs="仿宋" w:hint="eastAsia"/>
                <w:szCs w:val="21"/>
              </w:rPr>
              <w:t xml:space="preserve">    </w:t>
            </w:r>
            <w:r w:rsidR="00E016FB">
              <w:rPr>
                <w:rFonts w:ascii="仿宋" w:eastAsia="仿宋" w:hAnsi="仿宋" w:cs="仿宋" w:hint="eastAsia"/>
                <w:szCs w:val="21"/>
              </w:rPr>
              <w:t>针对联合申报的情形，《办法》第五条的规定是在</w:t>
            </w:r>
            <w:r>
              <w:rPr>
                <w:rFonts w:ascii="仿宋" w:eastAsia="仿宋" w:hAnsi="仿宋" w:cs="仿宋" w:hint="eastAsia"/>
                <w:szCs w:val="21"/>
              </w:rPr>
              <w:t>遵循市级立法规定的基础上设置的。</w:t>
            </w:r>
          </w:p>
        </w:tc>
      </w:tr>
      <w:tr w:rsidR="009E0446">
        <w:trPr>
          <w:trHeight w:val="37"/>
          <w:jc w:val="center"/>
        </w:trPr>
        <w:tc>
          <w:tcPr>
            <w:tcW w:w="675"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t>7</w:t>
            </w:r>
          </w:p>
        </w:tc>
        <w:tc>
          <w:tcPr>
            <w:tcW w:w="7275"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产业项目遴选的目的应在于实现稀缺产业用地资源的高效配置，推动产业转型升级，现实中有些企业以发展产业为名行发展地产之实，我们有个“黑名单”制度，但是这是结果导向，在流程方面有没有好的制度来实行严格的监管？</w:t>
            </w:r>
          </w:p>
        </w:tc>
        <w:tc>
          <w:tcPr>
            <w:tcW w:w="690" w:type="dxa"/>
            <w:vAlign w:val="center"/>
          </w:tcPr>
          <w:p w:rsidR="009E0446" w:rsidRDefault="00874578">
            <w:pPr>
              <w:rPr>
                <w:rFonts w:ascii="仿宋" w:eastAsia="仿宋" w:hAnsi="仿宋" w:cs="仿宋"/>
                <w:szCs w:val="21"/>
                <w:highlight w:val="yellow"/>
              </w:rPr>
            </w:pPr>
            <w:r>
              <w:rPr>
                <w:rFonts w:ascii="仿宋" w:eastAsia="仿宋" w:hAnsi="仿宋" w:cs="仿宋" w:hint="eastAsia"/>
                <w:szCs w:val="21"/>
              </w:rPr>
              <w:t>解释</w:t>
            </w:r>
          </w:p>
        </w:tc>
        <w:tc>
          <w:tcPr>
            <w:tcW w:w="4717"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关于重点产业项目在流程方面的监管制度，《办法》主要通过设置意向用地单位进入遴选程序以及后续的监管程序等方面来保证将产业用地供给真正做实业的企业。为了促进产业准入符合罗湖区产业发展导向，鼓励有竞争力的实体产业发展，《办法》细分了产业类型，优化了意向用地单位的条件设置。一方面，第三条区分企业注册经营的时间，规定了申请重点产业项目用地遴选单位需要满足的现状产值规模（营业收入）要求，并明确要求在经重点产业项目遴选并竞得土地后，用地单位至迟在三个月内满足注册经营地在罗湖区的要求，且企业营业收入和纳税额应纳入罗湖区统计</w:t>
            </w:r>
            <w:r>
              <w:rPr>
                <w:rFonts w:ascii="仿宋" w:eastAsia="仿宋" w:hAnsi="仿宋" w:cs="仿宋" w:hint="eastAsia"/>
                <w:szCs w:val="21"/>
              </w:rPr>
              <w:t>。另一方面，第四条进一步细化了重点产业项目用地遴选单位需要满足的年度纳税、产值规模、产出效率等承诺额条件。</w:t>
            </w:r>
          </w:p>
          <w:p w:rsidR="009E0446" w:rsidRDefault="00874578">
            <w:pPr>
              <w:ind w:firstLineChars="200" w:firstLine="420"/>
              <w:jc w:val="left"/>
              <w:rPr>
                <w:rFonts w:ascii="仿宋" w:eastAsia="仿宋" w:hAnsi="仿宋" w:cs="仿宋"/>
                <w:szCs w:val="21"/>
                <w:highlight w:val="yellow"/>
              </w:rPr>
            </w:pPr>
            <w:r>
              <w:rPr>
                <w:rFonts w:ascii="仿宋" w:eastAsia="仿宋" w:hAnsi="仿宋" w:cs="仿宋" w:hint="eastAsia"/>
                <w:szCs w:val="21"/>
              </w:rPr>
              <w:lastRenderedPageBreak/>
              <w:t>此外，《办法》主要从监管协议制度、产业监管核查制度、违约责任承担、收回土地使用权以及列入“黑名单”制度这五个方面完善了产业监管的相关内容，从而确保遴选制度目的得以实现，确保竟得土地企业是用于重点产业发展，而不是借发展产业之名来行发展地产之实。</w:t>
            </w:r>
          </w:p>
        </w:tc>
      </w:tr>
      <w:tr w:rsidR="009E0446">
        <w:trPr>
          <w:trHeight w:val="37"/>
          <w:jc w:val="center"/>
        </w:trPr>
        <w:tc>
          <w:tcPr>
            <w:tcW w:w="675"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lastRenderedPageBreak/>
              <w:t>8</w:t>
            </w:r>
          </w:p>
        </w:tc>
        <w:tc>
          <w:tcPr>
            <w:tcW w:w="7275"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关于《办法》第二十四条的建议：（</w:t>
            </w:r>
            <w:r>
              <w:rPr>
                <w:rFonts w:ascii="仿宋" w:eastAsia="仿宋" w:hAnsi="仿宋" w:cs="仿宋" w:hint="eastAsia"/>
                <w:szCs w:val="21"/>
              </w:rPr>
              <w:t>1</w:t>
            </w:r>
            <w:r>
              <w:rPr>
                <w:rFonts w:ascii="仿宋" w:eastAsia="仿宋" w:hAnsi="仿宋" w:cs="仿宋" w:hint="eastAsia"/>
                <w:szCs w:val="21"/>
              </w:rPr>
              <w:t>）建议增加企业的实际负责人、实际投资人等责任主体作为责任承担主体；（</w:t>
            </w:r>
            <w:r>
              <w:rPr>
                <w:rFonts w:ascii="仿宋" w:eastAsia="仿宋" w:hAnsi="仿宋" w:cs="仿宋" w:hint="eastAsia"/>
                <w:szCs w:val="21"/>
              </w:rPr>
              <w:t>2</w:t>
            </w:r>
            <w:r>
              <w:rPr>
                <w:rFonts w:ascii="仿宋" w:eastAsia="仿宋" w:hAnsi="仿宋" w:cs="仿宋" w:hint="eastAsia"/>
                <w:szCs w:val="21"/>
              </w:rPr>
              <w:t>）建议谨慎考虑使用“黑名单”制度，在达到监管目的的</w:t>
            </w:r>
            <w:r>
              <w:rPr>
                <w:rFonts w:ascii="仿宋" w:eastAsia="仿宋" w:hAnsi="仿宋" w:cs="仿宋" w:hint="eastAsia"/>
                <w:szCs w:val="21"/>
              </w:rPr>
              <w:t>同时，避免规则过于严苛给企业带来的后续影响。</w:t>
            </w:r>
          </w:p>
        </w:tc>
        <w:tc>
          <w:tcPr>
            <w:tcW w:w="690"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t>采纳</w:t>
            </w:r>
            <w:r>
              <w:rPr>
                <w:rFonts w:ascii="仿宋" w:eastAsia="仿宋" w:hAnsi="仿宋" w:cs="仿宋" w:hint="eastAsia"/>
                <w:szCs w:val="21"/>
              </w:rPr>
              <w:t>+</w:t>
            </w:r>
          </w:p>
          <w:p w:rsidR="009E0446" w:rsidRDefault="00874578">
            <w:pPr>
              <w:jc w:val="center"/>
              <w:rPr>
                <w:rFonts w:ascii="仿宋" w:eastAsia="仿宋" w:hAnsi="仿宋" w:cs="仿宋"/>
                <w:szCs w:val="21"/>
              </w:rPr>
            </w:pPr>
            <w:r>
              <w:rPr>
                <w:rFonts w:ascii="仿宋" w:eastAsia="仿宋" w:hAnsi="仿宋" w:cs="仿宋" w:hint="eastAsia"/>
                <w:szCs w:val="21"/>
              </w:rPr>
              <w:t>解释</w:t>
            </w:r>
          </w:p>
        </w:tc>
        <w:tc>
          <w:tcPr>
            <w:tcW w:w="4717"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根据（</w:t>
            </w:r>
            <w:r>
              <w:rPr>
                <w:rFonts w:ascii="仿宋" w:eastAsia="仿宋" w:hAnsi="仿宋" w:cs="仿宋" w:hint="eastAsia"/>
                <w:szCs w:val="21"/>
              </w:rPr>
              <w:t>1</w:t>
            </w:r>
            <w:r>
              <w:rPr>
                <w:rFonts w:ascii="仿宋" w:eastAsia="仿宋" w:hAnsi="仿宋" w:cs="仿宋" w:hint="eastAsia"/>
                <w:szCs w:val="21"/>
              </w:rPr>
              <w:t>）的意见对第二十四条进行修改完善。</w:t>
            </w:r>
          </w:p>
          <w:p w:rsidR="009E0446" w:rsidRDefault="00874578">
            <w:pPr>
              <w:jc w:val="left"/>
              <w:rPr>
                <w:rFonts w:ascii="仿宋" w:eastAsia="仿宋" w:hAnsi="仿宋" w:cs="仿宋"/>
                <w:szCs w:val="21"/>
              </w:rPr>
            </w:pPr>
            <w:r>
              <w:rPr>
                <w:rFonts w:ascii="仿宋" w:eastAsia="仿宋" w:hAnsi="仿宋" w:cs="仿宋" w:hint="eastAsia"/>
                <w:szCs w:val="21"/>
              </w:rPr>
              <w:t>关于（</w:t>
            </w:r>
            <w:r>
              <w:rPr>
                <w:rFonts w:ascii="仿宋" w:eastAsia="仿宋" w:hAnsi="仿宋" w:cs="仿宋" w:hint="eastAsia"/>
                <w:szCs w:val="21"/>
              </w:rPr>
              <w:t>2</w:t>
            </w:r>
            <w:r>
              <w:rPr>
                <w:rFonts w:ascii="仿宋" w:eastAsia="仿宋" w:hAnsi="仿宋" w:cs="仿宋" w:hint="eastAsia"/>
                <w:szCs w:val="21"/>
              </w:rPr>
              <w:t>）的意见，《深圳市人民政府关于印发工业及其他产业用地供应管理办法的通知》（深府规〔</w:t>
            </w:r>
            <w:r>
              <w:rPr>
                <w:rFonts w:ascii="仿宋" w:eastAsia="仿宋" w:hAnsi="仿宋" w:cs="仿宋" w:hint="eastAsia"/>
                <w:szCs w:val="21"/>
              </w:rPr>
              <w:t>2019</w:t>
            </w:r>
            <w:r>
              <w:rPr>
                <w:rFonts w:ascii="仿宋" w:eastAsia="仿宋" w:hAnsi="仿宋" w:cs="仿宋" w:hint="eastAsia"/>
                <w:szCs w:val="21"/>
              </w:rPr>
              <w:t>〕</w:t>
            </w:r>
            <w:r>
              <w:rPr>
                <w:rFonts w:ascii="仿宋" w:eastAsia="仿宋" w:hAnsi="仿宋" w:cs="仿宋" w:hint="eastAsia"/>
                <w:szCs w:val="21"/>
              </w:rPr>
              <w:t>4</w:t>
            </w:r>
            <w:r>
              <w:rPr>
                <w:rFonts w:ascii="仿宋" w:eastAsia="仿宋" w:hAnsi="仿宋" w:cs="仿宋" w:hint="eastAsia"/>
                <w:szCs w:val="21"/>
              </w:rPr>
              <w:t>号）第四十三条规定：“产业项目申报单位及其法定代表人、负责人、股东、投资人等责任主体存在严重失信行为的、出现产业发展监管协议履约考核未通过的情形的，区政府应当将其列入失信</w:t>
            </w:r>
            <w:r>
              <w:rPr>
                <w:rFonts w:ascii="仿宋" w:eastAsia="仿宋" w:hAnsi="仿宋" w:cs="仿宋" w:hint="eastAsia"/>
                <w:szCs w:val="21"/>
              </w:rPr>
              <w:t>‘</w:t>
            </w:r>
            <w:r>
              <w:rPr>
                <w:rFonts w:ascii="仿宋" w:eastAsia="仿宋" w:hAnsi="仿宋" w:cs="仿宋" w:hint="eastAsia"/>
                <w:szCs w:val="21"/>
              </w:rPr>
              <w:t>黑名单</w:t>
            </w:r>
            <w:r>
              <w:rPr>
                <w:rFonts w:ascii="仿宋" w:eastAsia="仿宋" w:hAnsi="仿宋" w:cs="仿宋"/>
                <w:szCs w:val="21"/>
              </w:rPr>
              <w:t>’</w:t>
            </w:r>
            <w:r>
              <w:rPr>
                <w:rFonts w:ascii="Arial" w:eastAsia="仿宋" w:hAnsi="Arial" w:cs="Arial"/>
                <w:szCs w:val="21"/>
              </w:rPr>
              <w:t>…</w:t>
            </w:r>
            <w:r>
              <w:rPr>
                <w:rFonts w:ascii="仿宋" w:eastAsia="仿宋" w:hAnsi="仿宋" w:cs="仿宋" w:hint="eastAsia"/>
                <w:szCs w:val="21"/>
              </w:rPr>
              <w:t>”，上位法的规定系刚性规定，若区政府的文件直接予以放宽，有违反上位法规定之嫌。</w:t>
            </w:r>
            <w:r>
              <w:rPr>
                <w:rFonts w:ascii="仿宋" w:eastAsia="仿宋" w:hAnsi="仿宋" w:cs="仿宋" w:hint="eastAsia"/>
                <w:szCs w:val="21"/>
              </w:rPr>
              <w:t> </w:t>
            </w:r>
          </w:p>
        </w:tc>
      </w:tr>
      <w:tr w:rsidR="009E0446">
        <w:trPr>
          <w:trHeight w:val="90"/>
          <w:jc w:val="center"/>
        </w:trPr>
        <w:tc>
          <w:tcPr>
            <w:tcW w:w="675"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t>9</w:t>
            </w:r>
          </w:p>
        </w:tc>
        <w:tc>
          <w:tcPr>
            <w:tcW w:w="7275"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关于明确办理时间的问题，如明确第十二条中初审结束的时间；第十三条中对于未通过初审的申请单位，建议明确规定具体的告知期限，并且把未通过的理由也一并告知企业或者申请单位，使程序更加透明。</w:t>
            </w:r>
          </w:p>
        </w:tc>
        <w:tc>
          <w:tcPr>
            <w:tcW w:w="690" w:type="dxa"/>
            <w:vAlign w:val="center"/>
          </w:tcPr>
          <w:p w:rsidR="009E0446" w:rsidRDefault="00874578">
            <w:pPr>
              <w:rPr>
                <w:rFonts w:ascii="仿宋" w:eastAsia="仿宋" w:hAnsi="仿宋" w:cs="仿宋"/>
                <w:szCs w:val="21"/>
              </w:rPr>
            </w:pPr>
            <w:r>
              <w:rPr>
                <w:rFonts w:ascii="仿宋" w:eastAsia="仿宋" w:hAnsi="仿宋" w:cs="仿宋" w:hint="eastAsia"/>
                <w:szCs w:val="21"/>
              </w:rPr>
              <w:t>采纳</w:t>
            </w:r>
          </w:p>
        </w:tc>
        <w:tc>
          <w:tcPr>
            <w:tcW w:w="4717" w:type="dxa"/>
            <w:vAlign w:val="center"/>
          </w:tcPr>
          <w:p w:rsidR="009E0446" w:rsidRDefault="00874578">
            <w:pPr>
              <w:rPr>
                <w:rFonts w:ascii="仿宋" w:eastAsia="仿宋" w:hAnsi="仿宋" w:cs="仿宋"/>
                <w:szCs w:val="21"/>
              </w:rPr>
            </w:pPr>
            <w:r>
              <w:rPr>
                <w:rFonts w:ascii="仿宋" w:eastAsia="仿宋" w:hAnsi="仿宋" w:cs="仿宋" w:hint="eastAsia"/>
                <w:szCs w:val="21"/>
              </w:rPr>
              <w:t>已对《办法》第十二条、十三条中相关内容进行了调整。</w:t>
            </w:r>
          </w:p>
        </w:tc>
      </w:tr>
      <w:tr w:rsidR="009E0446">
        <w:trPr>
          <w:trHeight w:val="37"/>
          <w:jc w:val="center"/>
        </w:trPr>
        <w:tc>
          <w:tcPr>
            <w:tcW w:w="675"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t>10</w:t>
            </w:r>
          </w:p>
        </w:tc>
        <w:tc>
          <w:tcPr>
            <w:tcW w:w="7275" w:type="dxa"/>
            <w:vAlign w:val="center"/>
          </w:tcPr>
          <w:p w:rsidR="009E0446" w:rsidRDefault="00874578">
            <w:pPr>
              <w:jc w:val="left"/>
              <w:rPr>
                <w:rFonts w:ascii="仿宋" w:eastAsia="仿宋" w:hAnsi="仿宋" w:cs="仿宋"/>
                <w:szCs w:val="21"/>
              </w:rPr>
            </w:pPr>
            <w:r>
              <w:rPr>
                <w:rFonts w:ascii="仿宋" w:eastAsia="仿宋" w:hAnsi="仿宋" w:cs="仿宋" w:hint="eastAsia"/>
                <w:szCs w:val="21"/>
              </w:rPr>
              <w:t>希望通过更多的形式广泛征求公众意见。</w:t>
            </w:r>
          </w:p>
        </w:tc>
        <w:tc>
          <w:tcPr>
            <w:tcW w:w="690" w:type="dxa"/>
            <w:vAlign w:val="center"/>
          </w:tcPr>
          <w:p w:rsidR="009E0446" w:rsidRDefault="00874578">
            <w:pPr>
              <w:jc w:val="center"/>
              <w:rPr>
                <w:rFonts w:ascii="仿宋" w:eastAsia="仿宋" w:hAnsi="仿宋" w:cs="仿宋"/>
                <w:szCs w:val="21"/>
              </w:rPr>
            </w:pPr>
            <w:r>
              <w:rPr>
                <w:rFonts w:ascii="仿宋" w:eastAsia="仿宋" w:hAnsi="仿宋" w:cs="仿宋" w:hint="eastAsia"/>
                <w:szCs w:val="21"/>
              </w:rPr>
              <w:t>采纳</w:t>
            </w:r>
          </w:p>
        </w:tc>
        <w:tc>
          <w:tcPr>
            <w:tcW w:w="4717" w:type="dxa"/>
            <w:vAlign w:val="center"/>
          </w:tcPr>
          <w:p w:rsidR="009E0446" w:rsidRDefault="00874578">
            <w:pPr>
              <w:rPr>
                <w:rFonts w:ascii="仿宋" w:eastAsia="仿宋" w:hAnsi="仿宋" w:cs="仿宋"/>
                <w:szCs w:val="21"/>
              </w:rPr>
            </w:pPr>
            <w:r>
              <w:rPr>
                <w:rFonts w:ascii="仿宋" w:eastAsia="仿宋" w:hAnsi="仿宋" w:cs="仿宋" w:hint="eastAsia"/>
                <w:szCs w:val="21"/>
              </w:rPr>
              <w:t>我局会依法依规做好征求意见的相关程序。</w:t>
            </w:r>
            <w:r>
              <w:rPr>
                <w:rFonts w:ascii="仿宋" w:eastAsia="仿宋" w:hAnsi="仿宋" w:cs="仿宋" w:hint="eastAsia"/>
                <w:szCs w:val="21"/>
              </w:rPr>
              <w:t> </w:t>
            </w:r>
          </w:p>
        </w:tc>
      </w:tr>
    </w:tbl>
    <w:p w:rsidR="009E0446" w:rsidRDefault="009E0446"/>
    <w:p w:rsidR="009E0446" w:rsidRDefault="009E0446">
      <w:pPr>
        <w:tabs>
          <w:tab w:val="left" w:pos="5870"/>
        </w:tabs>
        <w:spacing w:line="360" w:lineRule="auto"/>
        <w:ind w:right="640" w:firstLineChars="1700" w:firstLine="4760"/>
        <w:rPr>
          <w:rFonts w:asciiTheme="minorEastAsia" w:hAnsiTheme="minorEastAsia"/>
          <w:sz w:val="28"/>
          <w:szCs w:val="28"/>
          <w:highlight w:val="yellow"/>
        </w:rPr>
      </w:pPr>
    </w:p>
    <w:p w:rsidR="009E0446" w:rsidRDefault="009E0446"/>
    <w:sectPr w:rsidR="009E0446" w:rsidSect="009E0446">
      <w:footerReference w:type="default" r:id="rId7"/>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4578" w:rsidRDefault="00874578" w:rsidP="009E0446">
      <w:r>
        <w:separator/>
      </w:r>
    </w:p>
  </w:endnote>
  <w:endnote w:type="continuationSeparator" w:id="1">
    <w:p w:rsidR="00874578" w:rsidRDefault="00874578" w:rsidP="009E04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0446" w:rsidRDefault="009E0446">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filled="f" stroked="f" strokeweight=".5pt">
          <v:textbox style="mso-fit-shape-to-text:t" inset="0,0,0,0">
            <w:txbxContent>
              <w:p w:rsidR="009E0446" w:rsidRDefault="009E0446">
                <w:pPr>
                  <w:pStyle w:val="a3"/>
                </w:pPr>
                <w:r>
                  <w:rPr>
                    <w:rFonts w:hint="eastAsia"/>
                  </w:rPr>
                  <w:fldChar w:fldCharType="begin"/>
                </w:r>
                <w:r w:rsidR="00874578">
                  <w:rPr>
                    <w:rFonts w:hint="eastAsia"/>
                  </w:rPr>
                  <w:instrText xml:space="preserve"> PAGE  \* MERGEFORMAT </w:instrText>
                </w:r>
                <w:r>
                  <w:rPr>
                    <w:rFonts w:hint="eastAsia"/>
                  </w:rPr>
                  <w:fldChar w:fldCharType="separate"/>
                </w:r>
                <w:r w:rsidR="00E016FB">
                  <w:rPr>
                    <w:noProof/>
                  </w:rPr>
                  <w:t>3</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4578" w:rsidRDefault="00874578" w:rsidP="009E0446">
      <w:r>
        <w:separator/>
      </w:r>
    </w:p>
  </w:footnote>
  <w:footnote w:type="continuationSeparator" w:id="1">
    <w:p w:rsidR="00874578" w:rsidRDefault="00874578" w:rsidP="009E04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0446"/>
    <w:rsid w:val="00874578"/>
    <w:rsid w:val="009E0446"/>
    <w:rsid w:val="00E016FB"/>
    <w:rsid w:val="6D8B78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E044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9E0446"/>
    <w:pPr>
      <w:tabs>
        <w:tab w:val="center" w:pos="4153"/>
        <w:tab w:val="right" w:pos="8306"/>
      </w:tabs>
      <w:snapToGrid w:val="0"/>
      <w:jc w:val="left"/>
    </w:pPr>
    <w:rPr>
      <w:sz w:val="18"/>
      <w:szCs w:val="18"/>
    </w:rPr>
  </w:style>
  <w:style w:type="paragraph" w:styleId="a4">
    <w:name w:val="header"/>
    <w:basedOn w:val="a"/>
    <w:rsid w:val="009E044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uiPriority w:val="59"/>
    <w:qFormat/>
    <w:rsid w:val="009E04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309</Words>
  <Characters>1763</Characters>
  <Application>Microsoft Office Word</Application>
  <DocSecurity>0</DocSecurity>
  <Lines>14</Lines>
  <Paragraphs>4</Paragraphs>
  <ScaleCrop>false</ScaleCrop>
  <Company>Microsoft</Company>
  <LinksUpToDate>false</LinksUpToDate>
  <CharactersWithSpaces>2068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2022-07-19T03:35:00Z</dcterms:created>
  <dcterms:modified xsi:type="dcterms:W3CDTF">2022-07-19T03:35:00Z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