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4EC" w:rsidRDefault="00ED72BD">
      <w:pPr>
        <w:rPr>
          <w:rFonts w:ascii="黑体" w:eastAsia="黑体"/>
          <w:color w:val="000000"/>
          <w:sz w:val="32"/>
          <w:szCs w:val="32"/>
        </w:rPr>
      </w:pPr>
      <w:r>
        <w:rPr>
          <w:rFonts w:ascii="黑体" w:eastAsia="黑体" w:hint="eastAsia"/>
          <w:color w:val="000000"/>
          <w:sz w:val="32"/>
          <w:szCs w:val="32"/>
        </w:rPr>
        <w:t>附件</w:t>
      </w:r>
      <w:r>
        <w:rPr>
          <w:rFonts w:ascii="黑体" w:eastAsia="黑体" w:hint="eastAsia"/>
          <w:color w:val="000000"/>
          <w:sz w:val="32"/>
          <w:szCs w:val="32"/>
        </w:rPr>
        <w:t>1</w:t>
      </w:r>
    </w:p>
    <w:p w:rsidR="006B54EC" w:rsidRDefault="006B54EC"/>
    <w:p w:rsidR="006B54EC" w:rsidRPr="00A64D69" w:rsidRDefault="00ED72BD" w:rsidP="00A64D69">
      <w:pPr>
        <w:jc w:val="center"/>
        <w:rPr>
          <w:rFonts w:ascii="黑体" w:eastAsia="黑体" w:hAnsi="黑体" w:hint="eastAsia"/>
          <w:b/>
          <w:sz w:val="44"/>
          <w:szCs w:val="44"/>
        </w:rPr>
      </w:pPr>
      <w:r w:rsidRPr="00A64D69">
        <w:rPr>
          <w:rFonts w:ascii="黑体" w:eastAsia="黑体" w:hAnsi="黑体" w:hint="eastAsia"/>
          <w:b/>
          <w:sz w:val="44"/>
          <w:szCs w:val="44"/>
        </w:rPr>
        <w:t>听证会</w:t>
      </w:r>
      <w:r w:rsidRPr="00A64D69">
        <w:rPr>
          <w:rFonts w:ascii="黑体" w:eastAsia="黑体" w:hAnsi="黑体"/>
          <w:b/>
          <w:sz w:val="44"/>
          <w:szCs w:val="44"/>
        </w:rPr>
        <w:t>主要议题</w:t>
      </w:r>
      <w:r w:rsidRPr="00A64D69">
        <w:rPr>
          <w:rFonts w:ascii="黑体" w:eastAsia="黑体" w:hAnsi="黑体" w:hint="eastAsia"/>
          <w:b/>
          <w:sz w:val="44"/>
          <w:szCs w:val="44"/>
        </w:rPr>
        <w:t>及相关条文</w:t>
      </w:r>
    </w:p>
    <w:p w:rsidR="006B54EC" w:rsidRDefault="00ED72BD" w:rsidP="00A64D69">
      <w:pPr>
        <w:spacing w:beforeLines="100" w:before="312" w:afterLines="100" w:after="312"/>
        <w:ind w:firstLineChars="200" w:firstLine="643"/>
        <w:rPr>
          <w:rFonts w:ascii="仿宋_GB2312" w:eastAsia="仿宋_GB2312" w:hAnsi="仿宋" w:cs="宋体"/>
          <w:b/>
          <w:kern w:val="0"/>
          <w:sz w:val="32"/>
          <w:szCs w:val="32"/>
        </w:rPr>
      </w:pPr>
      <w:r w:rsidRPr="00A64D69">
        <w:rPr>
          <w:rFonts w:ascii="仿宋_GB2312" w:eastAsia="仿宋_GB2312" w:hAnsi="仿宋" w:cs="宋体" w:hint="eastAsia"/>
          <w:b/>
          <w:kern w:val="0"/>
          <w:sz w:val="32"/>
          <w:szCs w:val="32"/>
        </w:rPr>
        <w:t>一、</w:t>
      </w:r>
      <w:r>
        <w:rPr>
          <w:rFonts w:ascii="仿宋_GB2312" w:eastAsia="仿宋_GB2312" w:hAnsi="仿宋" w:cs="宋体" w:hint="eastAsia"/>
          <w:b/>
          <w:kern w:val="0"/>
          <w:sz w:val="32"/>
          <w:szCs w:val="32"/>
        </w:rPr>
        <w:t>重点产业项目的认定标准是否清晰、</w:t>
      </w:r>
      <w:r>
        <w:rPr>
          <w:rFonts w:ascii="仿宋_GB2312" w:eastAsia="仿宋_GB2312" w:hAnsi="仿宋" w:cs="宋体" w:hint="eastAsia"/>
          <w:b/>
          <w:kern w:val="0"/>
          <w:sz w:val="32"/>
          <w:szCs w:val="32"/>
        </w:rPr>
        <w:t>合理</w:t>
      </w:r>
      <w:r>
        <w:rPr>
          <w:rFonts w:ascii="仿宋_GB2312" w:eastAsia="仿宋_GB2312" w:hAnsi="仿宋" w:cs="宋体" w:hint="eastAsia"/>
          <w:b/>
          <w:kern w:val="0"/>
          <w:sz w:val="32"/>
          <w:szCs w:val="32"/>
        </w:rPr>
        <w:t>？</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主要涉及《办法》第二条，具体条文内容如下：</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第二条【适用范围】</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本办法适用于罗湖区遴选区级重点产业项目的行为。</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本办法所称重点产业项目，是指经遴选认定的符合我市及我区产业政策、环境保护等要求，对我市及我区经济发展具有重大带动作用的产业项目。</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重点产业项目应至少符合下列条件之一：</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（一）在本行业中处于领先地位具有重大影响力或者品牌具有重大国际影响力的；</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（二）经行业专家评审对我市及我区重点发展产业具有填补空白和完善产业</w:t>
      </w:r>
      <w:proofErr w:type="gramStart"/>
      <w:r>
        <w:rPr>
          <w:rFonts w:ascii="仿宋_GB2312" w:eastAsia="仿宋_GB2312" w:hAnsi="仿宋" w:cs="宋体" w:hint="eastAsia"/>
          <w:kern w:val="0"/>
          <w:sz w:val="32"/>
          <w:szCs w:val="32"/>
        </w:rPr>
        <w:t>链作用</w:t>
      </w:r>
      <w:proofErr w:type="gramEnd"/>
      <w:r>
        <w:rPr>
          <w:rFonts w:ascii="仿宋_GB2312" w:eastAsia="仿宋_GB2312" w:hAnsi="仿宋" w:cs="宋体" w:hint="eastAsia"/>
          <w:kern w:val="0"/>
          <w:sz w:val="32"/>
          <w:szCs w:val="32"/>
        </w:rPr>
        <w:t>或者核心技术专利处于国内外领先地位的；</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（三）市政府审定的其他项目类型。</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重点产业项目还应符合罗湖区国民经济和社会发展规划及年度发展计划。</w:t>
      </w:r>
    </w:p>
    <w:p w:rsidR="006B54EC" w:rsidRDefault="00ED72BD" w:rsidP="00A64D69">
      <w:pPr>
        <w:numPr>
          <w:ilvl w:val="0"/>
          <w:numId w:val="1"/>
        </w:numPr>
        <w:spacing w:beforeLines="100" w:before="312" w:afterLines="100" w:after="312"/>
        <w:ind w:firstLineChars="200" w:firstLine="643"/>
        <w:rPr>
          <w:rFonts w:ascii="仿宋_GB2312" w:eastAsia="仿宋_GB2312" w:hAnsi="仿宋" w:cs="宋体"/>
          <w:b/>
          <w:kern w:val="0"/>
          <w:sz w:val="32"/>
          <w:szCs w:val="32"/>
        </w:rPr>
      </w:pPr>
      <w:r>
        <w:rPr>
          <w:rFonts w:ascii="仿宋_GB2312" w:eastAsia="仿宋_GB2312" w:hAnsi="仿宋" w:cs="宋体"/>
          <w:b/>
          <w:kern w:val="0"/>
          <w:sz w:val="32"/>
          <w:szCs w:val="32"/>
        </w:rPr>
        <w:t>意向用地单位</w:t>
      </w:r>
      <w:r>
        <w:rPr>
          <w:rFonts w:ascii="仿宋_GB2312" w:eastAsia="仿宋_GB2312" w:hAnsi="仿宋" w:cs="宋体"/>
          <w:b/>
          <w:kern w:val="0"/>
          <w:sz w:val="32"/>
          <w:szCs w:val="32"/>
        </w:rPr>
        <w:t>的条件设置是否清晰、合理</w:t>
      </w:r>
      <w:r>
        <w:rPr>
          <w:rFonts w:ascii="仿宋_GB2312" w:eastAsia="仿宋_GB2312" w:hAnsi="仿宋" w:cs="宋体" w:hint="eastAsia"/>
          <w:b/>
          <w:kern w:val="0"/>
          <w:sz w:val="32"/>
          <w:szCs w:val="32"/>
        </w:rPr>
        <w:t>？</w:t>
      </w:r>
    </w:p>
    <w:p w:rsidR="006B54EC" w:rsidRDefault="00ED72BD">
      <w:pPr>
        <w:rPr>
          <w:rFonts w:ascii="仿宋_GB2312" w:eastAsia="仿宋_GB2312" w:hAnsi="仿宋" w:cs="宋体"/>
          <w:b/>
          <w:kern w:val="0"/>
          <w:sz w:val="32"/>
          <w:szCs w:val="32"/>
        </w:rPr>
      </w:pPr>
      <w:r>
        <w:rPr>
          <w:rFonts w:ascii="仿宋_GB2312" w:eastAsia="仿宋_GB2312" w:hAnsi="仿宋" w:cs="宋体" w:hint="eastAsia"/>
          <w:b/>
          <w:kern w:val="0"/>
          <w:sz w:val="32"/>
          <w:szCs w:val="32"/>
        </w:rPr>
        <w:t xml:space="preserve">    </w:t>
      </w:r>
      <w:r>
        <w:rPr>
          <w:rFonts w:ascii="仿宋_GB2312" w:eastAsia="仿宋_GB2312" w:hAnsi="仿宋" w:cs="宋体" w:hint="eastAsia"/>
          <w:b/>
          <w:kern w:val="0"/>
          <w:sz w:val="32"/>
          <w:szCs w:val="32"/>
        </w:rPr>
        <w:t>主要涉及</w:t>
      </w:r>
      <w:r w:rsidR="00A64D69" w:rsidRPr="00A64D69">
        <w:rPr>
          <w:rFonts w:ascii="仿宋_GB2312" w:eastAsia="仿宋_GB2312" w:hAnsi="仿宋" w:cs="宋体" w:hint="eastAsia"/>
          <w:b/>
          <w:kern w:val="0"/>
          <w:sz w:val="32"/>
          <w:szCs w:val="32"/>
        </w:rPr>
        <w:t>《办法》</w:t>
      </w:r>
      <w:r>
        <w:rPr>
          <w:rFonts w:ascii="仿宋_GB2312" w:eastAsia="仿宋_GB2312" w:hAnsi="仿宋" w:cs="宋体" w:hint="eastAsia"/>
          <w:b/>
          <w:kern w:val="0"/>
          <w:sz w:val="32"/>
          <w:szCs w:val="32"/>
        </w:rPr>
        <w:t>第三、四条，</w:t>
      </w:r>
      <w:r w:rsidR="00A64D69">
        <w:rPr>
          <w:rFonts w:ascii="仿宋_GB2312" w:eastAsia="仿宋_GB2312" w:hAnsi="仿宋" w:cs="宋体" w:hint="eastAsia"/>
          <w:b/>
          <w:kern w:val="0"/>
          <w:sz w:val="32"/>
          <w:szCs w:val="32"/>
        </w:rPr>
        <w:t>具体条文内容如下：</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lastRenderedPageBreak/>
        <w:t>第三条【意向用地单位条件</w:t>
      </w:r>
      <w:r>
        <w:rPr>
          <w:rFonts w:ascii="仿宋_GB2312" w:eastAsia="仿宋_GB2312" w:hAnsi="仿宋" w:cs="宋体" w:hint="eastAsia"/>
          <w:b/>
          <w:kern w:val="0"/>
          <w:sz w:val="32"/>
          <w:szCs w:val="32"/>
        </w:rPr>
        <w:t>1</w:t>
      </w:r>
      <w:r>
        <w:rPr>
          <w:rFonts w:ascii="仿宋_GB2312" w:eastAsia="仿宋_GB2312" w:hAnsi="仿宋" w:cs="宋体" w:hint="eastAsia"/>
          <w:b/>
          <w:kern w:val="0"/>
          <w:sz w:val="32"/>
          <w:szCs w:val="32"/>
        </w:rPr>
        <w:t>】</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申请重点产业项目遴选的单位应至少符合以下条件之一：</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（一）注册经营满一年的企业，企业上一年度的产值规模（营业收入）不低于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亿元人民币。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（二）注册经营未满一年的企业，其控股公司</w:t>
      </w:r>
      <w:proofErr w:type="gramStart"/>
      <w:r>
        <w:rPr>
          <w:rFonts w:ascii="仿宋_GB2312" w:eastAsia="仿宋_GB2312" w:hAnsi="仿宋" w:cs="宋体" w:hint="eastAsia"/>
          <w:kern w:val="0"/>
          <w:sz w:val="32"/>
          <w:szCs w:val="32"/>
        </w:rPr>
        <w:t>应注册</w:t>
      </w:r>
      <w:proofErr w:type="gramEnd"/>
      <w:r>
        <w:rPr>
          <w:rFonts w:ascii="仿宋_GB2312" w:eastAsia="仿宋_GB2312" w:hAnsi="仿宋" w:cs="宋体" w:hint="eastAsia"/>
          <w:kern w:val="0"/>
          <w:sz w:val="32"/>
          <w:szCs w:val="32"/>
        </w:rPr>
        <w:t>经营满一年且上年度产值规模（营业收入）不低于</w:t>
      </w:r>
      <w:r>
        <w:rPr>
          <w:rFonts w:ascii="仿宋_GB2312" w:eastAsia="仿宋_GB2312" w:hAnsi="仿宋" w:cs="宋体" w:hint="eastAsia"/>
          <w:kern w:val="0"/>
          <w:sz w:val="32"/>
          <w:szCs w:val="32"/>
        </w:rPr>
        <w:t>50</w:t>
      </w:r>
      <w:r>
        <w:rPr>
          <w:rFonts w:ascii="仿宋_GB2312" w:eastAsia="仿宋_GB2312" w:hAnsi="仿宋" w:cs="宋体" w:hint="eastAsia"/>
          <w:kern w:val="0"/>
          <w:sz w:val="32"/>
          <w:szCs w:val="32"/>
        </w:rPr>
        <w:t>亿元人民币。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（三）参与联合</w:t>
      </w:r>
      <w:proofErr w:type="gramStart"/>
      <w:r>
        <w:rPr>
          <w:rFonts w:ascii="仿宋_GB2312" w:eastAsia="仿宋_GB2312" w:hAnsi="仿宋" w:cs="宋体" w:hint="eastAsia"/>
          <w:kern w:val="0"/>
          <w:sz w:val="32"/>
          <w:szCs w:val="32"/>
        </w:rPr>
        <w:t>招拍挂</w:t>
      </w:r>
      <w:proofErr w:type="gramEnd"/>
      <w:r>
        <w:rPr>
          <w:rFonts w:ascii="仿宋_GB2312" w:eastAsia="仿宋_GB2312" w:hAnsi="仿宋" w:cs="宋体" w:hint="eastAsia"/>
          <w:kern w:val="0"/>
          <w:sz w:val="32"/>
          <w:szCs w:val="32"/>
        </w:rPr>
        <w:t>的单位应</w:t>
      </w:r>
      <w:proofErr w:type="gramStart"/>
      <w:r>
        <w:rPr>
          <w:rFonts w:ascii="仿宋_GB2312" w:eastAsia="仿宋_GB2312" w:hAnsi="仿宋" w:cs="宋体" w:hint="eastAsia"/>
          <w:kern w:val="0"/>
          <w:sz w:val="32"/>
          <w:szCs w:val="32"/>
        </w:rPr>
        <w:t>系注册</w:t>
      </w:r>
      <w:proofErr w:type="gramEnd"/>
      <w:r>
        <w:rPr>
          <w:rFonts w:ascii="仿宋_GB2312" w:eastAsia="仿宋_GB2312" w:hAnsi="仿宋" w:cs="宋体" w:hint="eastAsia"/>
          <w:kern w:val="0"/>
          <w:sz w:val="32"/>
          <w:szCs w:val="32"/>
        </w:rPr>
        <w:t>经营满一年的企业，且企业上一年度的产值规模（营业收入）不低于</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亿元人民币。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（四）区政府审定的其他符合罗湖区产业发展方向的企业。</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在经重点产业项目</w:t>
      </w:r>
      <w:proofErr w:type="gramStart"/>
      <w:r>
        <w:rPr>
          <w:rFonts w:ascii="仿宋_GB2312" w:eastAsia="仿宋_GB2312" w:hAnsi="仿宋" w:cs="宋体" w:hint="eastAsia"/>
          <w:kern w:val="0"/>
          <w:sz w:val="32"/>
          <w:szCs w:val="32"/>
        </w:rPr>
        <w:t>遴选并竞得</w:t>
      </w:r>
      <w:proofErr w:type="gramEnd"/>
      <w:r>
        <w:rPr>
          <w:rFonts w:ascii="仿宋_GB2312" w:eastAsia="仿宋_GB2312" w:hAnsi="仿宋" w:cs="宋体" w:hint="eastAsia"/>
          <w:kern w:val="0"/>
          <w:sz w:val="32"/>
          <w:szCs w:val="32"/>
        </w:rPr>
        <w:t>土地后，用地单位至迟应在三个月内满足注册经营地在罗湖区的要求，且企业营业收入和纳税额应纳入罗湖区统计。</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第四条【意向用地单位条件</w:t>
      </w:r>
      <w:r>
        <w:rPr>
          <w:rFonts w:ascii="仿宋_GB2312" w:eastAsia="仿宋_GB2312" w:hAnsi="仿宋" w:cs="宋体" w:hint="eastAsia"/>
          <w:b/>
          <w:kern w:val="0"/>
          <w:sz w:val="32"/>
          <w:szCs w:val="32"/>
        </w:rPr>
        <w:t>2</w:t>
      </w:r>
      <w:r>
        <w:rPr>
          <w:rFonts w:ascii="仿宋_GB2312" w:eastAsia="仿宋_GB2312" w:hAnsi="仿宋" w:cs="宋体" w:hint="eastAsia"/>
          <w:b/>
          <w:kern w:val="0"/>
          <w:sz w:val="32"/>
          <w:szCs w:val="32"/>
        </w:rPr>
        <w:t>】</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申请重点产业项目遴选的单位除符合前条规定的条件外，年度纳税、产值规模（营业收入）</w:t>
      </w:r>
      <w:r w:rsidR="00A64D69">
        <w:rPr>
          <w:rFonts w:ascii="仿宋_GB2312" w:eastAsia="仿宋_GB2312" w:hAnsi="仿宋" w:cs="宋体" w:hint="eastAsia"/>
          <w:kern w:val="0"/>
          <w:sz w:val="32"/>
          <w:szCs w:val="32"/>
        </w:rPr>
        <w:t>、</w:t>
      </w:r>
      <w:r w:rsidR="00A64D69">
        <w:rPr>
          <w:rFonts w:ascii="仿宋_GB2312" w:eastAsia="仿宋_GB2312" w:hAnsi="仿宋" w:cs="宋体"/>
          <w:kern w:val="0"/>
          <w:sz w:val="32"/>
          <w:szCs w:val="32"/>
        </w:rPr>
        <w:t>产出效率</w:t>
      </w:r>
      <w:r>
        <w:rPr>
          <w:rFonts w:ascii="仿宋_GB2312" w:eastAsia="仿宋_GB2312" w:hAnsi="仿宋" w:cs="宋体" w:hint="eastAsia"/>
          <w:kern w:val="0"/>
          <w:sz w:val="32"/>
          <w:szCs w:val="32"/>
        </w:rPr>
        <w:t>承诺应符合以下规定：</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（一）金融业企业应当承诺在竞得土地后第</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个完整会计年度的纳税总额不低于</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个完整会计年度</w:t>
      </w:r>
      <w:r>
        <w:rPr>
          <w:rFonts w:ascii="仿宋_GB2312" w:eastAsia="仿宋_GB2312" w:hAnsi="仿宋" w:cs="宋体" w:hint="eastAsia"/>
          <w:kern w:val="0"/>
          <w:sz w:val="32"/>
          <w:szCs w:val="32"/>
        </w:rPr>
        <w:lastRenderedPageBreak/>
        <w:t>内的纳税总额不低于</w:t>
      </w:r>
      <w:r>
        <w:rPr>
          <w:rFonts w:ascii="仿宋_GB2312" w:eastAsia="仿宋_GB2312" w:hAnsi="仿宋" w:cs="宋体" w:hint="eastAsia"/>
          <w:kern w:val="0"/>
          <w:sz w:val="32"/>
          <w:szCs w:val="32"/>
        </w:rPr>
        <w:t>9</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个完整会计年度内的纳税总额不低于</w:t>
      </w:r>
      <w:r>
        <w:rPr>
          <w:rFonts w:ascii="仿宋_GB2312" w:eastAsia="仿宋_GB2312" w:hAnsi="仿宋" w:cs="宋体" w:hint="eastAsia"/>
          <w:kern w:val="0"/>
          <w:sz w:val="32"/>
          <w:szCs w:val="32"/>
        </w:rPr>
        <w:t>15</w:t>
      </w:r>
      <w:r>
        <w:rPr>
          <w:rFonts w:ascii="仿宋_GB2312" w:eastAsia="仿宋_GB2312" w:hAnsi="仿宋" w:cs="宋体" w:hint="eastAsia"/>
          <w:kern w:val="0"/>
          <w:sz w:val="32"/>
          <w:szCs w:val="32"/>
        </w:rPr>
        <w:t>亿元人民币；且承诺每年纳入本区统计的产值规模（营业收入）不低于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亿元人民币，产出效率（年产值</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建筑面积）不少于</w:t>
      </w:r>
      <w:r>
        <w:rPr>
          <w:rFonts w:ascii="仿宋_GB2312" w:eastAsia="仿宋_GB2312" w:hAnsi="仿宋" w:cs="宋体" w:hint="eastAsia"/>
          <w:kern w:val="0"/>
          <w:sz w:val="32"/>
          <w:szCs w:val="32"/>
        </w:rPr>
        <w:t>20</w:t>
      </w:r>
      <w:r>
        <w:rPr>
          <w:rFonts w:ascii="仿宋_GB2312" w:eastAsia="仿宋_GB2312" w:hAnsi="仿宋" w:cs="宋体" w:hint="eastAsia"/>
          <w:kern w:val="0"/>
          <w:sz w:val="32"/>
          <w:szCs w:val="32"/>
        </w:rPr>
        <w:t>万元</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平方米。</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（二）属于战略性新兴产业或未来产业，具有国家高新技术企业认定资质（或控股母公司为国家高新技术企业的企业），或者掌握核心技术、能够填补领域空白、具有完善产业</w:t>
      </w:r>
      <w:proofErr w:type="gramStart"/>
      <w:r>
        <w:rPr>
          <w:rFonts w:ascii="仿宋_GB2312" w:eastAsia="仿宋_GB2312" w:hAnsi="仿宋" w:cs="宋体" w:hint="eastAsia"/>
          <w:kern w:val="0"/>
          <w:sz w:val="32"/>
          <w:szCs w:val="32"/>
        </w:rPr>
        <w:t>链作用</w:t>
      </w:r>
      <w:proofErr w:type="gramEnd"/>
      <w:r>
        <w:rPr>
          <w:rFonts w:ascii="仿宋_GB2312" w:eastAsia="仿宋_GB2312" w:hAnsi="仿宋" w:cs="宋体" w:hint="eastAsia"/>
          <w:kern w:val="0"/>
          <w:sz w:val="32"/>
          <w:szCs w:val="32"/>
        </w:rPr>
        <w:t>的企业，应当承诺竞得土地后第</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个完整会计年度在辖区的纳税额不低于</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个完整会计年度内在辖区的纳税总额不低于</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个完整会计年度内在辖区的纳税总额不低于</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亿元人民币；且承诺每年纳入本区统计的产值规模（营业收入）不低于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亿元人民币，产出效率（年产值</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建筑面积）不少于</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万元</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平方米。</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（三）其他产业类型的企业应当承诺竞得土地后第</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个</w:t>
      </w:r>
      <w:r>
        <w:rPr>
          <w:rFonts w:ascii="仿宋_GB2312" w:eastAsia="仿宋_GB2312" w:hAnsi="仿宋" w:cs="宋体" w:hint="eastAsia"/>
          <w:kern w:val="0"/>
          <w:sz w:val="32"/>
          <w:szCs w:val="32"/>
        </w:rPr>
        <w:t>完整会计年度在辖区的纳税额不低于</w:t>
      </w: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个完整会计年度内在辖区的纳税总额不低于</w:t>
      </w:r>
      <w:r>
        <w:rPr>
          <w:rFonts w:ascii="仿宋_GB2312" w:eastAsia="仿宋_GB2312" w:hAnsi="仿宋" w:cs="宋体" w:hint="eastAsia"/>
          <w:kern w:val="0"/>
          <w:sz w:val="32"/>
          <w:szCs w:val="32"/>
        </w:rPr>
        <w:t>6</w:t>
      </w:r>
      <w:r>
        <w:rPr>
          <w:rFonts w:ascii="仿宋_GB2312" w:eastAsia="仿宋_GB2312" w:hAnsi="仿宋" w:cs="宋体" w:hint="eastAsia"/>
          <w:kern w:val="0"/>
          <w:sz w:val="32"/>
          <w:szCs w:val="32"/>
        </w:rPr>
        <w:t>亿元人民币，</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个完整会计年度内在辖区的纳税总额不低于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亿元人民币；且承诺每年纳入本区统计的产值规模（营业收入）不低于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亿元人民币，产出效率（年产值</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建筑面积）不少于</w:t>
      </w:r>
      <w:r>
        <w:rPr>
          <w:rFonts w:ascii="仿宋_GB2312" w:eastAsia="仿宋_GB2312" w:hAnsi="仿宋" w:cs="宋体" w:hint="eastAsia"/>
          <w:kern w:val="0"/>
          <w:sz w:val="32"/>
          <w:szCs w:val="32"/>
        </w:rPr>
        <w:t xml:space="preserve"> 6</w:t>
      </w:r>
      <w:r>
        <w:rPr>
          <w:rFonts w:ascii="仿宋_GB2312" w:eastAsia="仿宋_GB2312" w:hAnsi="仿宋" w:cs="宋体" w:hint="eastAsia"/>
          <w:kern w:val="0"/>
          <w:sz w:val="32"/>
          <w:szCs w:val="32"/>
        </w:rPr>
        <w:t>万元</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平方米。</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（四）区政府审定的其他符合罗湖区产业发展方向的企业。</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采取联合</w:t>
      </w:r>
      <w:proofErr w:type="gramStart"/>
      <w:r>
        <w:rPr>
          <w:rFonts w:ascii="仿宋_GB2312" w:eastAsia="仿宋_GB2312" w:hAnsi="仿宋" w:cs="宋体" w:hint="eastAsia"/>
          <w:kern w:val="0"/>
          <w:sz w:val="32"/>
          <w:szCs w:val="32"/>
        </w:rPr>
        <w:t>招拍挂</w:t>
      </w:r>
      <w:proofErr w:type="gramEnd"/>
      <w:r>
        <w:rPr>
          <w:rFonts w:ascii="仿宋_GB2312" w:eastAsia="仿宋_GB2312" w:hAnsi="仿宋" w:cs="宋体" w:hint="eastAsia"/>
          <w:kern w:val="0"/>
          <w:sz w:val="32"/>
          <w:szCs w:val="32"/>
        </w:rPr>
        <w:t>的，联合体内成员应当承诺合计纳税额、产值规模（营业收入）</w:t>
      </w:r>
      <w:r w:rsidR="00A64D69">
        <w:rPr>
          <w:rFonts w:ascii="仿宋_GB2312" w:eastAsia="仿宋_GB2312" w:hAnsi="仿宋" w:cs="宋体" w:hint="eastAsia"/>
          <w:kern w:val="0"/>
          <w:sz w:val="32"/>
          <w:szCs w:val="32"/>
        </w:rPr>
        <w:t>、</w:t>
      </w:r>
      <w:r w:rsidR="00A64D69">
        <w:rPr>
          <w:rFonts w:ascii="仿宋_GB2312" w:eastAsia="仿宋_GB2312" w:hAnsi="仿宋" w:cs="宋体"/>
          <w:kern w:val="0"/>
          <w:sz w:val="32"/>
          <w:szCs w:val="32"/>
        </w:rPr>
        <w:t>产出效率</w:t>
      </w:r>
      <w:r>
        <w:rPr>
          <w:rFonts w:ascii="仿宋_GB2312" w:eastAsia="仿宋_GB2312" w:hAnsi="仿宋" w:cs="宋体" w:hint="eastAsia"/>
          <w:kern w:val="0"/>
          <w:sz w:val="32"/>
          <w:szCs w:val="32"/>
        </w:rPr>
        <w:t>满足前款的相关要求，且每个成员均应当承诺竞得土地后每年在罗湖区的纳税额不低于</w:t>
      </w:r>
      <w:r>
        <w:rPr>
          <w:rFonts w:ascii="仿宋_GB2312" w:eastAsia="仿宋_GB2312" w:hAnsi="仿宋" w:cs="宋体" w:hint="eastAsia"/>
          <w:kern w:val="0"/>
          <w:sz w:val="32"/>
          <w:szCs w:val="32"/>
        </w:rPr>
        <w:t>2000</w:t>
      </w:r>
      <w:r>
        <w:rPr>
          <w:rFonts w:ascii="仿宋_GB2312" w:eastAsia="仿宋_GB2312" w:hAnsi="仿宋" w:cs="宋体" w:hint="eastAsia"/>
          <w:kern w:val="0"/>
          <w:sz w:val="32"/>
          <w:szCs w:val="32"/>
        </w:rPr>
        <w:t>万元人民币，纳入罗湖区统计的</w:t>
      </w:r>
      <w:r>
        <w:rPr>
          <w:rFonts w:ascii="仿宋_GB2312" w:eastAsia="仿宋_GB2312" w:hAnsi="仿宋" w:cs="宋体" w:hint="eastAsia"/>
          <w:kern w:val="0"/>
          <w:sz w:val="32"/>
          <w:szCs w:val="32"/>
        </w:rPr>
        <w:t>产值规模（营业收入）不低于</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亿元人民币，但前款第（四）项的企业，以区政府审定的条件为准。</w:t>
      </w:r>
    </w:p>
    <w:p w:rsidR="006B54EC" w:rsidRDefault="00ED72BD" w:rsidP="00A64D69">
      <w:pPr>
        <w:spacing w:beforeLines="100" w:before="312" w:afterLines="100" w:after="312"/>
        <w:ind w:firstLineChars="200" w:firstLine="643"/>
        <w:rPr>
          <w:rFonts w:ascii="仿宋_GB2312" w:eastAsia="仿宋_GB2312" w:hAnsi="仿宋" w:cs="宋体"/>
          <w:b/>
          <w:kern w:val="0"/>
          <w:sz w:val="32"/>
          <w:szCs w:val="32"/>
        </w:rPr>
      </w:pPr>
      <w:r w:rsidRPr="00A64D69">
        <w:rPr>
          <w:rFonts w:ascii="仿宋_GB2312" w:eastAsia="仿宋_GB2312" w:hAnsi="仿宋" w:cs="宋体" w:hint="eastAsia"/>
          <w:b/>
          <w:kern w:val="0"/>
          <w:sz w:val="32"/>
          <w:szCs w:val="32"/>
        </w:rPr>
        <w:t>三</w:t>
      </w:r>
      <w:r w:rsidRPr="00A64D69">
        <w:rPr>
          <w:rFonts w:ascii="仿宋_GB2312" w:eastAsia="仿宋_GB2312" w:hAnsi="仿宋" w:cs="宋体" w:hint="eastAsia"/>
          <w:b/>
          <w:kern w:val="0"/>
          <w:sz w:val="32"/>
          <w:szCs w:val="32"/>
        </w:rPr>
        <w:t>、</w:t>
      </w:r>
      <w:r>
        <w:rPr>
          <w:rFonts w:ascii="仿宋_GB2312" w:eastAsia="仿宋_GB2312" w:hAnsi="仿宋" w:cs="宋体" w:hint="eastAsia"/>
          <w:b/>
          <w:kern w:val="0"/>
          <w:sz w:val="32"/>
          <w:szCs w:val="32"/>
        </w:rPr>
        <w:t>重点产业项目遴选程序是否合理？</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主要涉及《办法》第十一条至第十八条，具体条文内容如下：</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第十一条【申报材料】</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申请重点产业项目遴选的单位需提出《罗湖区重点产业项目申请报告》（以下简称《申请报告》）及相关资料。</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（一）《申请报告》应包括如下主要内容：</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申请单位基本情况；</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申报产业项目基本情况，包括：项目名称、产业类别、行业类型、生产技术、产业标准，以及投产时间、投资强度、产出效率、节能环保、项目规模（用地规模、建设规模等）、土地供应方式等。</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（二）资料清单包括：</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企业营业执照；</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法定代表人身份证明及授权委托书</w:t>
      </w:r>
      <w:r>
        <w:rPr>
          <w:rFonts w:ascii="仿宋_GB2312" w:eastAsia="仿宋_GB2312" w:hAnsi="仿宋" w:cs="宋体" w:hint="eastAsia"/>
          <w:kern w:val="0"/>
          <w:sz w:val="32"/>
          <w:szCs w:val="32"/>
        </w:rPr>
        <w:t xml:space="preserve">; </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3.</w:t>
      </w:r>
      <w:r>
        <w:rPr>
          <w:rFonts w:ascii="仿宋_GB2312" w:eastAsia="仿宋_GB2312" w:hAnsi="仿宋" w:cs="宋体" w:hint="eastAsia"/>
          <w:kern w:val="0"/>
          <w:sz w:val="32"/>
          <w:szCs w:val="32"/>
        </w:rPr>
        <w:t>项目可行性研究报告；</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4.</w:t>
      </w:r>
      <w:r>
        <w:rPr>
          <w:rFonts w:ascii="仿宋_GB2312" w:eastAsia="仿宋_GB2312" w:hAnsi="仿宋" w:cs="宋体" w:hint="eastAsia"/>
          <w:kern w:val="0"/>
          <w:sz w:val="32"/>
          <w:szCs w:val="32"/>
        </w:rPr>
        <w:t>与项目、企业相关的重要合同、意向书等文件；</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董事会决议、执行董事决议等企业内部决策性文件；</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6.</w:t>
      </w:r>
      <w:r>
        <w:rPr>
          <w:rFonts w:ascii="仿宋_GB2312" w:eastAsia="仿宋_GB2312" w:hAnsi="仿宋" w:cs="宋体" w:hint="eastAsia"/>
          <w:kern w:val="0"/>
          <w:sz w:val="32"/>
          <w:szCs w:val="32"/>
        </w:rPr>
        <w:t>高新技术企业认定证书、发明专利证书、版权证明文件（仅战略性新兴产业和未来产业需提供）；</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7.</w:t>
      </w:r>
      <w:r>
        <w:rPr>
          <w:rFonts w:ascii="仿宋_GB2312" w:eastAsia="仿宋_GB2312" w:hAnsi="仿宋" w:cs="宋体" w:hint="eastAsia"/>
          <w:kern w:val="0"/>
          <w:sz w:val="32"/>
          <w:szCs w:val="32"/>
        </w:rPr>
        <w:t>企业近</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年的纳税证明（注册未满</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年的，按实际经营年期提供；注册未满一年的企业，应提供其控股公司近</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年的纳税证明，其控股公司注册未满</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年的，按实际经营年期提供）；</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8.</w:t>
      </w:r>
      <w:r>
        <w:rPr>
          <w:rFonts w:ascii="仿宋_GB2312" w:eastAsia="仿宋_GB2312" w:hAnsi="仿宋" w:cs="宋体" w:hint="eastAsia"/>
          <w:kern w:val="0"/>
          <w:sz w:val="32"/>
          <w:szCs w:val="32"/>
        </w:rPr>
        <w:t>企业近</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年的审计报告和财务报表（注册未满</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年的，按实际经营年期提供；注册未满一年的企业，应提供其控股公司近</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年的审计报告和财务报表，其控股公司注册未满</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年的，按实际经营年期提供）</w:t>
      </w:r>
      <w:r>
        <w:rPr>
          <w:rFonts w:ascii="仿宋_GB2312" w:eastAsia="仿宋_GB2312" w:hAnsi="仿宋" w:cs="宋体" w:hint="eastAsia"/>
          <w:kern w:val="0"/>
          <w:sz w:val="32"/>
          <w:szCs w:val="32"/>
        </w:rPr>
        <w:t>;</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9.</w:t>
      </w:r>
      <w:r>
        <w:rPr>
          <w:rFonts w:ascii="仿宋_GB2312" w:eastAsia="仿宋_GB2312" w:hAnsi="仿宋" w:cs="宋体" w:hint="eastAsia"/>
          <w:kern w:val="0"/>
          <w:sz w:val="32"/>
          <w:szCs w:val="32"/>
        </w:rPr>
        <w:t>企业承诺函（申报单位应当就纳税额、产值规模以及不存在区政府规定的其他不得申报的情形</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承诺）；</w:t>
      </w:r>
      <w:r>
        <w:rPr>
          <w:rFonts w:ascii="仿宋_GB2312" w:eastAsia="仿宋_GB2312" w:hAnsi="仿宋" w:cs="宋体" w:hint="eastAsia"/>
          <w:kern w:val="0"/>
          <w:sz w:val="32"/>
          <w:szCs w:val="32"/>
        </w:rPr>
        <w:t xml:space="preserve"> </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第十二条【受理及初审】</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产业项目牵头单位收到《申请报告》、《项目可行性研究报告》后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个工作</w:t>
      </w:r>
      <w:r>
        <w:rPr>
          <w:rFonts w:ascii="仿宋_GB2312" w:eastAsia="仿宋_GB2312" w:hAnsi="仿宋" w:cs="宋体" w:hint="eastAsia"/>
          <w:kern w:val="0"/>
          <w:sz w:val="32"/>
          <w:szCs w:val="32"/>
        </w:rPr>
        <w:t>日内，对申请材料的合</w:t>
      </w:r>
      <w:proofErr w:type="gramStart"/>
      <w:r>
        <w:rPr>
          <w:rFonts w:ascii="仿宋_GB2312" w:eastAsia="仿宋_GB2312" w:hAnsi="仿宋" w:cs="宋体" w:hint="eastAsia"/>
          <w:kern w:val="0"/>
          <w:sz w:val="32"/>
          <w:szCs w:val="32"/>
        </w:rPr>
        <w:t>规</w:t>
      </w:r>
      <w:proofErr w:type="gramEnd"/>
      <w:r>
        <w:rPr>
          <w:rFonts w:ascii="仿宋_GB2312" w:eastAsia="仿宋_GB2312" w:hAnsi="仿宋" w:cs="宋体" w:hint="eastAsia"/>
          <w:kern w:val="0"/>
          <w:sz w:val="32"/>
          <w:szCs w:val="32"/>
        </w:rPr>
        <w:t>性及项目是否符合重点产业项目遴选条件进行初审并同步征求相关部门意见。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开展初审工作可以进行实地考察，必要时也可以组织专家评审或第三方评估。实地考察、专家评审或第三方评估的</w:t>
      </w:r>
      <w:r>
        <w:rPr>
          <w:rFonts w:ascii="仿宋_GB2312" w:eastAsia="仿宋_GB2312" w:hAnsi="仿宋" w:cs="宋体" w:hint="eastAsia"/>
          <w:kern w:val="0"/>
          <w:sz w:val="32"/>
          <w:szCs w:val="32"/>
        </w:rPr>
        <w:lastRenderedPageBreak/>
        <w:t>时间不计入对申请材料的初审时限内。</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第十三条【复核】</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重点产业项目遴选申请未通过初审的，产业项目牵头单位应及时告知申请单位；初审通过的，产业项目牵头单位将项目报送遴选小组办公室复核。</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产业项目牵头单位提交的初审文件应明确项目符合重点产业项目认定标准的理由，并用列表的形式明确项目的主要经济指标（含企业近</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年的产值规模、纳税规模、增长率，承诺的产值规模及纳税额）、投资强度、产出效率、节能环保措施、重要技术与专利等有关内容。</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第十四条【提请启动遴选程序】</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小组办公室综合辖区产业导向目录、国民经济和社会发展年度计划、意向重点产业项目情况等相关要素，经复核初步认定申请项目符合重点产业项目遴选条件的，定期提请遴选小组召开会议，审议启动遴选程序。</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经遴选小组办公室复核或经遴选小组审议，认定不符合重</w:t>
      </w:r>
      <w:r>
        <w:rPr>
          <w:rFonts w:ascii="仿宋_GB2312" w:eastAsia="仿宋_GB2312" w:hAnsi="仿宋" w:cs="宋体" w:hint="eastAsia"/>
          <w:kern w:val="0"/>
          <w:sz w:val="32"/>
          <w:szCs w:val="32"/>
        </w:rPr>
        <w:t>点产业项目遴选条件的，产业项目牵头单位应及时告知申请单位。</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第十五条【拟订遴选方案草案、产业发展监管协议草案及用地竞买资格条件草案并征求意见】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遴选小组确定启动遴选程序的，申请重点产业项目遴选的单位应向产业项目牵头单位补充提交本《办法》第十一条</w:t>
      </w:r>
      <w:r>
        <w:rPr>
          <w:rFonts w:ascii="仿宋_GB2312" w:eastAsia="仿宋_GB2312" w:hAnsi="仿宋" w:cs="宋体" w:hint="eastAsia"/>
          <w:kern w:val="0"/>
          <w:sz w:val="32"/>
          <w:szCs w:val="32"/>
        </w:rPr>
        <w:lastRenderedPageBreak/>
        <w:t>规定的其他资料。产业项目牵头单位组织拟订遴选方案草案、产业发展监管协议草案及用地竞买资格条件草案，按职责分工征求遴选小组成员单位意见，各成员单位应在</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个工作日内反馈书面意见。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遴选方案应当包括如下主要内容：</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（一）项目名称及意向用地单位。意向用地单位可以独立申请，也</w:t>
      </w:r>
      <w:r>
        <w:rPr>
          <w:rFonts w:ascii="仿宋_GB2312" w:eastAsia="仿宋_GB2312" w:hAnsi="仿宋" w:cs="宋体" w:hint="eastAsia"/>
          <w:kern w:val="0"/>
          <w:sz w:val="32"/>
          <w:szCs w:val="32"/>
        </w:rPr>
        <w:t>可以联合申请；联合申请的，联合体成员应提交由联合体各成员签署的联合意向合作协议，协议应当约定联合体各成员的产业项目全面履约承诺、除公共配套设施外的建筑物产权分配比例、持有面积、类型、各成员间的权利与义务等内容。</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（二）项目必要性、可行性、建设内容和建设规模等论证材料。项目必要性应当就意向用地单位在我市已有用地开发、利用情况进行分析论证；建设规模应当与企业贡献相适应；</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（三）产业项目类型及要求，包含产业类型、生产技术、产业标准、产品品质要求，以及投产时间、投资强度、产出效率、节能环保等；</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（四）用地规模、用地</w:t>
      </w:r>
      <w:r>
        <w:rPr>
          <w:rFonts w:ascii="仿宋_GB2312" w:eastAsia="仿宋_GB2312" w:hAnsi="仿宋" w:cs="宋体" w:hint="eastAsia"/>
          <w:kern w:val="0"/>
          <w:sz w:val="32"/>
          <w:szCs w:val="32"/>
        </w:rPr>
        <w:t>功能、建设规模、土地供应方式、期限、权利限制及竞买资格条件等；</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（五）环境保护要求；</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（六）其他相关事项。</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lastRenderedPageBreak/>
        <w:t>第十六条【征求法律顾问及区司法局意见】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遴选方案草案、产业发展监管协议草案及用地竞买资格条件草案征求意见反馈并处理完毕后，产业项目牵头单位应征求本单位法律顾问意见。</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产业发展监管协议如未使用合同示范文本签订或对合同示范文本作实质性修改的，还应提交区司法局进行审查。</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第十七条【遴选方案草案、产业发展监管协议草案及用地竞买资格条件草案审定】</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通过合法性审查后，遴选小组办公室将遴选方案草案、产业发展监管协议草案及用地竞买资格条件草案报遴选小组审定。</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第十八条【备案和公示】</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方案草案、产业发展监管协议草案及用地竞买资格条件草案经遴选小组审定后，遴选小组办公室应当将遴选方案、产业发展监管协议及用地竞买资格条件一并报市发展改革、规划和自然资源及相关产业主管部门备案；在申请备案后</w:t>
      </w:r>
      <w:r>
        <w:rPr>
          <w:rFonts w:ascii="仿宋_GB2312" w:eastAsia="仿宋_GB2312" w:hAnsi="仿宋" w:cs="宋体" w:hint="eastAsia"/>
          <w:kern w:val="0"/>
          <w:sz w:val="32"/>
          <w:szCs w:val="32"/>
        </w:rPr>
        <w:t>10</w:t>
      </w:r>
      <w:r>
        <w:rPr>
          <w:rFonts w:ascii="仿宋_GB2312" w:eastAsia="仿宋_GB2312" w:hAnsi="仿宋" w:cs="宋体" w:hint="eastAsia"/>
          <w:kern w:val="0"/>
          <w:sz w:val="32"/>
          <w:szCs w:val="32"/>
        </w:rPr>
        <w:t>个工作日内未收到对备案项目异议意见的，由遴选小组办公室公示并转市规划和自然资源局罗湖管理局按程序启动土地供应工作；对备案有异议的项目，由遴选小组办公室提请区政府报市遴选小</w:t>
      </w:r>
      <w:r>
        <w:rPr>
          <w:rFonts w:ascii="仿宋_GB2312" w:eastAsia="仿宋_GB2312" w:hAnsi="仿宋" w:cs="宋体" w:hint="eastAsia"/>
          <w:kern w:val="0"/>
          <w:sz w:val="32"/>
          <w:szCs w:val="32"/>
        </w:rPr>
        <w:t>组办公室汇总后，提交市遴选小组审议。</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遴选小组办公室将遴选方案在深圳特区报等媒体以及</w:t>
      </w:r>
      <w:r>
        <w:rPr>
          <w:rFonts w:ascii="仿宋_GB2312" w:eastAsia="仿宋_GB2312" w:hAnsi="仿宋" w:cs="宋体" w:hint="eastAsia"/>
          <w:kern w:val="0"/>
          <w:sz w:val="32"/>
          <w:szCs w:val="32"/>
        </w:rPr>
        <w:lastRenderedPageBreak/>
        <w:t>深圳政府在线、罗湖电子</w:t>
      </w:r>
      <w:proofErr w:type="gramStart"/>
      <w:r>
        <w:rPr>
          <w:rFonts w:ascii="仿宋_GB2312" w:eastAsia="仿宋_GB2312" w:hAnsi="仿宋" w:cs="宋体" w:hint="eastAsia"/>
          <w:kern w:val="0"/>
          <w:sz w:val="32"/>
          <w:szCs w:val="32"/>
        </w:rPr>
        <w:t>政务网</w:t>
      </w:r>
      <w:proofErr w:type="gramEnd"/>
      <w:r>
        <w:rPr>
          <w:rFonts w:ascii="仿宋_GB2312" w:eastAsia="仿宋_GB2312" w:hAnsi="仿宋" w:cs="宋体" w:hint="eastAsia"/>
          <w:kern w:val="0"/>
          <w:sz w:val="32"/>
          <w:szCs w:val="32"/>
        </w:rPr>
        <w:t>等网站进行公示，公示期不得少于</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个工作日。</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公示期届满，第三人对遴选方案存在异议的，遴选小组办公室按照有关规定对异议进行核实、处理，如有重大变更应按程序重新组织遴选。</w:t>
      </w:r>
    </w:p>
    <w:p w:rsidR="006B54EC" w:rsidRDefault="00ED72BD" w:rsidP="00A64D69">
      <w:pPr>
        <w:spacing w:beforeLines="100" w:before="312" w:afterLines="100" w:after="312"/>
        <w:ind w:firstLineChars="200" w:firstLine="643"/>
        <w:rPr>
          <w:rFonts w:ascii="仿宋_GB2312" w:eastAsia="仿宋_GB2312" w:hAnsi="仿宋" w:cs="宋体"/>
          <w:b/>
          <w:kern w:val="0"/>
          <w:sz w:val="32"/>
          <w:szCs w:val="32"/>
        </w:rPr>
      </w:pPr>
      <w:r w:rsidRPr="006B5869">
        <w:rPr>
          <w:rFonts w:ascii="仿宋_GB2312" w:eastAsia="仿宋_GB2312" w:hAnsi="仿宋" w:cs="宋体" w:hint="eastAsia"/>
          <w:b/>
          <w:kern w:val="0"/>
          <w:sz w:val="32"/>
          <w:szCs w:val="32"/>
        </w:rPr>
        <w:t>四</w:t>
      </w:r>
      <w:r w:rsidRPr="006B5869">
        <w:rPr>
          <w:rFonts w:ascii="仿宋_GB2312" w:eastAsia="仿宋_GB2312" w:hAnsi="仿宋" w:cs="宋体" w:hint="eastAsia"/>
          <w:b/>
          <w:kern w:val="0"/>
          <w:sz w:val="32"/>
          <w:szCs w:val="32"/>
        </w:rPr>
        <w:t>、</w:t>
      </w:r>
      <w:r>
        <w:rPr>
          <w:rFonts w:ascii="仿宋_GB2312" w:eastAsia="仿宋_GB2312" w:hAnsi="仿宋" w:cs="宋体" w:hint="eastAsia"/>
          <w:b/>
          <w:kern w:val="0"/>
          <w:sz w:val="32"/>
          <w:szCs w:val="32"/>
        </w:rPr>
        <w:t>监</w:t>
      </w:r>
      <w:bookmarkStart w:id="0" w:name="_GoBack"/>
      <w:bookmarkEnd w:id="0"/>
      <w:r>
        <w:rPr>
          <w:rFonts w:ascii="仿宋_GB2312" w:eastAsia="仿宋_GB2312" w:hAnsi="仿宋" w:cs="宋体" w:hint="eastAsia"/>
          <w:b/>
          <w:kern w:val="0"/>
          <w:sz w:val="32"/>
          <w:szCs w:val="32"/>
        </w:rPr>
        <w:t>管措施是否合理？</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主要涉及《办法》第十九条至第二十四条，具体条文内容如下：</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第十九条【产业发展监管协议签订】</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土地供应成交后，中标人或竞得人</w:t>
      </w:r>
      <w:proofErr w:type="gramStart"/>
      <w:r>
        <w:rPr>
          <w:rFonts w:ascii="仿宋_GB2312" w:eastAsia="仿宋_GB2312" w:hAnsi="仿宋" w:cs="宋体" w:hint="eastAsia"/>
          <w:kern w:val="0"/>
          <w:sz w:val="32"/>
          <w:szCs w:val="32"/>
        </w:rPr>
        <w:t>持成交</w:t>
      </w:r>
      <w:proofErr w:type="gramEnd"/>
      <w:r>
        <w:rPr>
          <w:rFonts w:ascii="仿宋_GB2312" w:eastAsia="仿宋_GB2312" w:hAnsi="仿宋" w:cs="宋体" w:hint="eastAsia"/>
          <w:kern w:val="0"/>
          <w:sz w:val="32"/>
          <w:szCs w:val="32"/>
        </w:rPr>
        <w:t>确认书、竞买资格条件核实文件与产业项目牵头单位签订产业发展监管协议。</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产业发展监</w:t>
      </w:r>
      <w:r>
        <w:rPr>
          <w:rFonts w:ascii="仿宋_GB2312" w:eastAsia="仿宋_GB2312" w:hAnsi="仿宋" w:cs="宋体" w:hint="eastAsia"/>
          <w:kern w:val="0"/>
          <w:sz w:val="32"/>
          <w:szCs w:val="32"/>
        </w:rPr>
        <w:t>管协议应当作为土地使用权供应合同的附件，</w:t>
      </w:r>
      <w:proofErr w:type="gramStart"/>
      <w:r>
        <w:rPr>
          <w:rFonts w:ascii="仿宋_GB2312" w:eastAsia="仿宋_GB2312" w:hAnsi="仿宋" w:cs="宋体" w:hint="eastAsia"/>
          <w:kern w:val="0"/>
          <w:sz w:val="32"/>
          <w:szCs w:val="32"/>
        </w:rPr>
        <w:t>明确全</w:t>
      </w:r>
      <w:proofErr w:type="gramEnd"/>
      <w:r>
        <w:rPr>
          <w:rFonts w:ascii="仿宋_GB2312" w:eastAsia="仿宋_GB2312" w:hAnsi="仿宋" w:cs="宋体" w:hint="eastAsia"/>
          <w:kern w:val="0"/>
          <w:sz w:val="32"/>
          <w:szCs w:val="32"/>
        </w:rPr>
        <w:t>出让年期监管要求，包括产业准入条件、实缴注册资本、纳入本市统计核算的产值规模（营业收入）、投产时间、投资强度、产出效率、节能环保、承诺额、形成地方财力承诺额、转让或出租限制、抵押限制、股权变更约束、自用建筑回购、履约核查及违约责任、退出机制以及争议解决等相关条款。</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产业项目牵头单位应当制定本产业领域的产业发展监管协议示范文本，经区司法局审核通过后发布。</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lastRenderedPageBreak/>
        <w:t>第二十条【产业监管核查】</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产业项目牵头单位根据产业发展要求和环境保护要求，分别在产业发展监管协议约定的承诺期（自签订土地使用权出让合同之日起的第</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个完整会计年度）次年</w:t>
      </w:r>
      <w:r>
        <w:rPr>
          <w:rFonts w:ascii="仿宋_GB2312" w:eastAsia="仿宋_GB2312" w:hAnsi="仿宋" w:cs="宋体" w:hint="eastAsia"/>
          <w:kern w:val="0"/>
          <w:sz w:val="32"/>
          <w:szCs w:val="32"/>
        </w:rPr>
        <w:t>3</w:t>
      </w:r>
      <w:r>
        <w:rPr>
          <w:rFonts w:ascii="仿宋_GB2312" w:eastAsia="仿宋_GB2312" w:hAnsi="仿宋" w:cs="宋体" w:hint="eastAsia"/>
          <w:kern w:val="0"/>
          <w:sz w:val="32"/>
          <w:szCs w:val="32"/>
        </w:rPr>
        <w:t>月</w:t>
      </w:r>
      <w:r>
        <w:rPr>
          <w:rFonts w:ascii="仿宋_GB2312" w:eastAsia="仿宋_GB2312" w:hAnsi="仿宋" w:cs="宋体" w:hint="eastAsia"/>
          <w:kern w:val="0"/>
          <w:sz w:val="32"/>
          <w:szCs w:val="32"/>
        </w:rPr>
        <w:t>31</w:t>
      </w:r>
      <w:r>
        <w:rPr>
          <w:rFonts w:ascii="仿宋_GB2312" w:eastAsia="仿宋_GB2312" w:hAnsi="仿宋" w:cs="宋体" w:hint="eastAsia"/>
          <w:kern w:val="0"/>
          <w:sz w:val="32"/>
          <w:szCs w:val="32"/>
        </w:rPr>
        <w:t>日前、项目建成投产后</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年内、投产后每隔</w:t>
      </w:r>
      <w:r>
        <w:rPr>
          <w:rFonts w:ascii="仿宋_GB2312" w:eastAsia="仿宋_GB2312" w:hAnsi="仿宋" w:cs="宋体" w:hint="eastAsia"/>
          <w:kern w:val="0"/>
          <w:sz w:val="32"/>
          <w:szCs w:val="32"/>
        </w:rPr>
        <w:t>5</w:t>
      </w:r>
      <w:r>
        <w:rPr>
          <w:rFonts w:ascii="仿宋_GB2312" w:eastAsia="仿宋_GB2312" w:hAnsi="仿宋" w:cs="宋体" w:hint="eastAsia"/>
          <w:kern w:val="0"/>
          <w:sz w:val="32"/>
          <w:szCs w:val="32"/>
        </w:rPr>
        <w:t>年、租赁转出让前</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年内、出让（租赁）年期届满前</w:t>
      </w: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年等阶段，对产业发展监管协议约定事项的履行情况进行核查。此外，为确保产业发展监管协议切实履行，产业项目牵头单位认为确有必要，可在前述规定核查时间外的年份组织核查；也可依建设用地使用权人或承租人的申请进行核查。</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根据履约核查情况，对履约考核未通过的，由产业项目牵头单位报</w:t>
      </w:r>
      <w:r>
        <w:rPr>
          <w:rFonts w:ascii="仿宋_GB2312" w:eastAsia="仿宋_GB2312" w:hAnsi="仿宋" w:cs="宋体" w:hint="eastAsia"/>
          <w:kern w:val="0"/>
          <w:sz w:val="32"/>
          <w:szCs w:val="32"/>
        </w:rPr>
        <w:t>请区政府组织规划和自然资源、产业主管、市场监管、税务、证监、信用监管等部门依法依约进行处置，并形成履约核查处理报告，按批次报送遴选小组办公室汇总后报区政府。</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联合竞得土地的，产业项目牵头单位对各建设用地使用权人或承租人分别进行考核。</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第二十一条【违约责任】</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履约考核未通过的用地单位应当按照产业发展监管协议的约定承担违约责任；联合竞得土地的，各用地单位或承租人应当分别承担违约责任。</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第二十二条【违约金】</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lastRenderedPageBreak/>
        <w:t>用地单位未达到产业监管协议约定的承诺额、违反产业监管协议约定的权利限制要求、未按产业监管协议的约定配合履约</w:t>
      </w:r>
      <w:r>
        <w:rPr>
          <w:rFonts w:ascii="仿宋_GB2312" w:eastAsia="仿宋_GB2312" w:hAnsi="仿宋" w:cs="宋体" w:hint="eastAsia"/>
          <w:kern w:val="0"/>
          <w:sz w:val="32"/>
          <w:szCs w:val="32"/>
        </w:rPr>
        <w:t>核查的，应当按照监管协议的约定支付违约金。</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第二十三条【收回土地】</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用地单位（承租人）取得建设用地后，应当按照约定的土地使用条件使用土地。存在下列情形之一的，市规划和自然资源局罗湖管理局可以无偿收回建设用地使用权，地上建筑物及构筑物的补偿按照土地供应合同约定的方式处置：</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（一）因用地单位（承租人）自身原因未按时开工、竣工或有其他情形，按照土地供应合同约定可以收回土地使用权的；</w:t>
      </w:r>
    </w:p>
    <w:p w:rsidR="006B54EC" w:rsidRDefault="00ED72BD">
      <w:pPr>
        <w:ind w:firstLineChars="200" w:firstLine="640"/>
        <w:rPr>
          <w:rFonts w:ascii="仿宋_GB2312" w:eastAsia="仿宋_GB2312" w:hAnsi="仿宋" w:cs="宋体"/>
          <w:b/>
          <w:kern w:val="0"/>
          <w:sz w:val="32"/>
          <w:szCs w:val="32"/>
        </w:rPr>
      </w:pPr>
      <w:r>
        <w:rPr>
          <w:rFonts w:ascii="仿宋_GB2312" w:eastAsia="仿宋_GB2312" w:hAnsi="仿宋" w:cs="宋体" w:hint="eastAsia"/>
          <w:kern w:val="0"/>
          <w:sz w:val="32"/>
          <w:szCs w:val="32"/>
        </w:rPr>
        <w:t>（二）按照产业发展监管协议的约定可以解除土地供应合同的。</w:t>
      </w:r>
    </w:p>
    <w:p w:rsidR="006B54EC" w:rsidRDefault="00ED72BD">
      <w:pPr>
        <w:ind w:firstLineChars="200" w:firstLine="643"/>
        <w:rPr>
          <w:rFonts w:ascii="仿宋_GB2312" w:eastAsia="仿宋_GB2312" w:hAnsi="仿宋" w:cs="宋体"/>
          <w:b/>
          <w:kern w:val="0"/>
          <w:sz w:val="32"/>
          <w:szCs w:val="32"/>
        </w:rPr>
      </w:pPr>
      <w:r>
        <w:rPr>
          <w:rFonts w:ascii="仿宋_GB2312" w:eastAsia="仿宋_GB2312" w:hAnsi="仿宋" w:cs="宋体" w:hint="eastAsia"/>
          <w:b/>
          <w:kern w:val="0"/>
          <w:sz w:val="32"/>
          <w:szCs w:val="32"/>
        </w:rPr>
        <w:t>第二十四条【黑名单制度】</w:t>
      </w:r>
    </w:p>
    <w:p w:rsidR="006B54EC" w:rsidRDefault="00ED72BD">
      <w:pPr>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用地单位未通过履约核查的，产业项目牵头单位可将用</w:t>
      </w:r>
      <w:r>
        <w:rPr>
          <w:rFonts w:ascii="仿宋_GB2312" w:eastAsia="仿宋_GB2312" w:hAnsi="仿宋" w:cs="宋体" w:hint="eastAsia"/>
          <w:kern w:val="0"/>
          <w:sz w:val="32"/>
          <w:szCs w:val="32"/>
        </w:rPr>
        <w:t>地企业、关联企业及其法定代表人列入失信“黑名单”，并及时报送至市公共信用信息管理系统，由各部门依照职责分工，依法依规实施联合惩戒。在联合惩戒期限内，重点在政府采购、建设工程招投标、政府资金扶持、城市更新、土地竞拍等方面对失信主体予以限制。</w:t>
      </w:r>
    </w:p>
    <w:sectPr w:rsidR="006B54E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72BD" w:rsidRDefault="00ED72BD">
      <w:r>
        <w:separator/>
      </w:r>
    </w:p>
  </w:endnote>
  <w:endnote w:type="continuationSeparator" w:id="0">
    <w:p w:rsidR="00ED72BD" w:rsidRDefault="00ED7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3114882"/>
      <w:docPartObj>
        <w:docPartGallery w:val="AutoText"/>
      </w:docPartObj>
    </w:sdtPr>
    <w:sdtEndPr/>
    <w:sdtContent>
      <w:p w:rsidR="006B54EC" w:rsidRDefault="00ED72BD">
        <w:pPr>
          <w:pStyle w:val="a4"/>
          <w:jc w:val="center"/>
        </w:pPr>
        <w:r>
          <w:fldChar w:fldCharType="begin"/>
        </w:r>
        <w:r>
          <w:instrText>PAGE   \* MERGEFORMAT</w:instrText>
        </w:r>
        <w:r>
          <w:fldChar w:fldCharType="separate"/>
        </w:r>
        <w:r w:rsidR="006B5869" w:rsidRPr="006B5869">
          <w:rPr>
            <w:noProof/>
            <w:lang w:val="zh-CN"/>
          </w:rPr>
          <w:t>9</w:t>
        </w:r>
        <w:r>
          <w:fldChar w:fldCharType="end"/>
        </w:r>
      </w:p>
    </w:sdtContent>
  </w:sdt>
  <w:p w:rsidR="006B54EC" w:rsidRDefault="006B54E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72BD" w:rsidRDefault="00ED72BD">
      <w:r>
        <w:separator/>
      </w:r>
    </w:p>
  </w:footnote>
  <w:footnote w:type="continuationSeparator" w:id="0">
    <w:p w:rsidR="00ED72BD" w:rsidRDefault="00ED72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F3D163"/>
    <w:multiLevelType w:val="singleLevel"/>
    <w:tmpl w:val="78F3D16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9AC"/>
    <w:rsid w:val="002B2C80"/>
    <w:rsid w:val="003069F3"/>
    <w:rsid w:val="00604A21"/>
    <w:rsid w:val="0067365F"/>
    <w:rsid w:val="006B54EC"/>
    <w:rsid w:val="006B5869"/>
    <w:rsid w:val="009B4551"/>
    <w:rsid w:val="00A64D69"/>
    <w:rsid w:val="00A921C6"/>
    <w:rsid w:val="00AE1C84"/>
    <w:rsid w:val="00B80B38"/>
    <w:rsid w:val="00C71E06"/>
    <w:rsid w:val="00C879AC"/>
    <w:rsid w:val="00ED72BD"/>
    <w:rsid w:val="36A47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398798-1F75-4005-A8D5-DE8ABFD8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Char"/>
    <w:uiPriority w:val="99"/>
    <w:unhideWhenUsed/>
    <w:pPr>
      <w:tabs>
        <w:tab w:val="center" w:pos="4153"/>
        <w:tab w:val="right" w:pos="8306"/>
      </w:tabs>
      <w:snapToGrid w:val="0"/>
      <w:jc w:val="left"/>
    </w:pPr>
    <w:rPr>
      <w:sz w:val="18"/>
      <w:szCs w:val="18"/>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Pr>
      <w:sz w:val="18"/>
      <w:szCs w:val="18"/>
    </w:rPr>
  </w:style>
  <w:style w:type="character" w:customStyle="1" w:styleId="Char">
    <w:name w:val="页脚 Char"/>
    <w:basedOn w:val="a0"/>
    <w:link w:val="a4"/>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729</Words>
  <Characters>4156</Characters>
  <Application>Microsoft Office Word</Application>
  <DocSecurity>0</DocSecurity>
  <Lines>34</Lines>
  <Paragraphs>9</Paragraphs>
  <ScaleCrop>false</ScaleCrop>
  <Company>Microsoft</Company>
  <LinksUpToDate>false</LinksUpToDate>
  <CharactersWithSpaces>4876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2019-08-22T08:10:00Z</dcterms:created>
  <dcterms:modified xsi:type="dcterms:W3CDTF">2019-08-23T02:44:00Z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